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F991E" w14:textId="77777777" w:rsidR="00FD5CDF" w:rsidRDefault="00FD5CDF" w:rsidP="00E869E7">
      <w:pPr>
        <w:spacing w:before="1080" w:after="80"/>
        <w:jc w:val="center"/>
        <w:rPr>
          <w:rFonts w:ascii="Times New Roman" w:hAnsi="Times New Roman" w:cs="Times New Roman"/>
          <w:b/>
          <w:color w:val="0B1D4D"/>
          <w:sz w:val="40"/>
          <w:szCs w:val="40"/>
        </w:rPr>
      </w:pPr>
      <w:r w:rsidRPr="00FD5CDF">
        <w:rPr>
          <w:rFonts w:ascii="Times New Roman" w:hAnsi="Times New Roman" w:cs="Times New Roman"/>
          <w:b/>
          <w:color w:val="0B1D4D"/>
          <w:sz w:val="40"/>
          <w:szCs w:val="40"/>
        </w:rPr>
        <w:drawing>
          <wp:inline distT="0" distB="0" distL="0" distR="0" wp14:anchorId="00C6116F" wp14:editId="1CAE5E74">
            <wp:extent cx="6372860" cy="1507490"/>
            <wp:effectExtent l="0" t="0" r="8890" b="0"/>
            <wp:docPr id="47321083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210832" name=""/>
                    <pic:cNvPicPr/>
                  </pic:nvPicPr>
                  <pic:blipFill>
                    <a:blip r:embed="rId7"/>
                    <a:stretch>
                      <a:fillRect/>
                    </a:stretch>
                  </pic:blipFill>
                  <pic:spPr>
                    <a:xfrm>
                      <a:off x="0" y="0"/>
                      <a:ext cx="6372860" cy="1507490"/>
                    </a:xfrm>
                    <a:prstGeom prst="rect">
                      <a:avLst/>
                    </a:prstGeom>
                  </pic:spPr>
                </pic:pic>
              </a:graphicData>
            </a:graphic>
          </wp:inline>
        </w:drawing>
      </w:r>
    </w:p>
    <w:p w14:paraId="16C6B385" w14:textId="686A47C1" w:rsidR="00E869E7" w:rsidRPr="007F7F8B" w:rsidRDefault="00E869E7" w:rsidP="00E869E7">
      <w:pPr>
        <w:spacing w:before="1080" w:after="80"/>
        <w:jc w:val="center"/>
        <w:rPr>
          <w:rFonts w:ascii="Times New Roman" w:hAnsi="Times New Roman" w:cs="Times New Roman"/>
          <w:b/>
          <w:color w:val="0B1D4D"/>
          <w:sz w:val="54"/>
        </w:rPr>
      </w:pPr>
      <w:r w:rsidRPr="007F7F8B">
        <w:rPr>
          <w:rFonts w:ascii="Times New Roman" w:hAnsi="Times New Roman" w:cs="Times New Roman"/>
          <w:b/>
          <w:color w:val="0B1D4D"/>
          <w:sz w:val="40"/>
          <w:szCs w:val="40"/>
        </w:rPr>
        <w:t>SCHOOL OF BUSINESS</w:t>
      </w:r>
      <w:r w:rsidRPr="007F7F8B">
        <w:rPr>
          <w:rFonts w:ascii="Times New Roman" w:hAnsi="Times New Roman" w:cs="Times New Roman"/>
          <w:noProof/>
        </w:rPr>
        <mc:AlternateContent>
          <mc:Choice Requires="wps">
            <w:drawing>
              <wp:inline distT="0" distB="0" distL="0" distR="0" wp14:anchorId="3F4E9C59" wp14:editId="45D0EB75">
                <wp:extent cx="304800" cy="304800"/>
                <wp:effectExtent l="0" t="0" r="0" b="0"/>
                <wp:docPr id="433328655" name="Rectangle 1" descr="Görse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085C48" id="Rectangle 1" o:spid="_x0000_s1026" alt="Görsel 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FE1AD5C" w14:textId="77777777" w:rsidR="00E869E7" w:rsidRPr="007F7F8B" w:rsidRDefault="00E869E7" w:rsidP="00E869E7">
      <w:pPr>
        <w:spacing w:before="1080" w:after="80"/>
        <w:jc w:val="center"/>
        <w:rPr>
          <w:rFonts w:ascii="Times New Roman" w:hAnsi="Times New Roman" w:cs="Times New Roman"/>
        </w:rPr>
      </w:pPr>
      <w:r w:rsidRPr="007F7F8B">
        <w:rPr>
          <w:rFonts w:ascii="Times New Roman" w:hAnsi="Times New Roman" w:cs="Times New Roman"/>
          <w:b/>
          <w:color w:val="0B1D4D"/>
          <w:sz w:val="54"/>
        </w:rPr>
        <w:t>GENDER EQUALITY PLAN</w:t>
      </w:r>
    </w:p>
    <w:p w14:paraId="6FC49D87" w14:textId="77777777" w:rsidR="00E869E7" w:rsidRPr="007F7F8B" w:rsidRDefault="00E869E7" w:rsidP="00E869E7">
      <w:pPr>
        <w:jc w:val="center"/>
        <w:rPr>
          <w:rFonts w:ascii="Times New Roman" w:hAnsi="Times New Roman" w:cs="Times New Roman"/>
          <w:b/>
          <w:color w:val="0B1D4D"/>
          <w:sz w:val="40"/>
          <w:szCs w:val="40"/>
        </w:rPr>
      </w:pPr>
      <w:r w:rsidRPr="007F7F8B">
        <w:rPr>
          <w:rFonts w:ascii="Times New Roman" w:hAnsi="Times New Roman" w:cs="Times New Roman"/>
          <w:b/>
          <w:color w:val="0B1D4D"/>
          <w:sz w:val="40"/>
          <w:szCs w:val="40"/>
        </w:rPr>
        <w:t>2027–2030</w:t>
      </w:r>
    </w:p>
    <w:p w14:paraId="64DC2E97" w14:textId="77777777" w:rsidR="00E869E7" w:rsidRPr="007F7F8B" w:rsidRDefault="00E869E7" w:rsidP="00E869E7">
      <w:pPr>
        <w:spacing w:before="640"/>
        <w:jc w:val="center"/>
        <w:rPr>
          <w:rFonts w:ascii="Times New Roman" w:hAnsi="Times New Roman" w:cs="Times New Roman"/>
        </w:rPr>
      </w:pPr>
    </w:p>
    <w:p w14:paraId="6DF43C15" w14:textId="77777777" w:rsidR="00E869E7" w:rsidRPr="007F7F8B" w:rsidRDefault="00E869E7" w:rsidP="00E869E7">
      <w:pPr>
        <w:spacing w:before="640"/>
        <w:jc w:val="center"/>
        <w:rPr>
          <w:rFonts w:ascii="Times New Roman" w:hAnsi="Times New Roman" w:cs="Times New Roman"/>
        </w:rPr>
      </w:pPr>
    </w:p>
    <w:p w14:paraId="4DB1DAAE" w14:textId="77777777" w:rsidR="00E869E7" w:rsidRPr="007F7F8B" w:rsidRDefault="00E869E7" w:rsidP="00E869E7">
      <w:pPr>
        <w:spacing w:before="640"/>
        <w:jc w:val="center"/>
        <w:rPr>
          <w:rFonts w:ascii="Times New Roman" w:hAnsi="Times New Roman" w:cs="Times New Roman"/>
        </w:rPr>
      </w:pPr>
    </w:p>
    <w:tbl>
      <w:tblPr>
        <w:tblW w:w="0" w:type="auto"/>
        <w:jc w:val="center"/>
        <w:tblLayout w:type="fixed"/>
        <w:tblLook w:val="04A0" w:firstRow="1" w:lastRow="0" w:firstColumn="1" w:lastColumn="0" w:noHBand="0" w:noVBand="1"/>
      </w:tblPr>
      <w:tblGrid>
        <w:gridCol w:w="10036"/>
      </w:tblGrid>
      <w:tr w:rsidR="00E869E7" w:rsidRPr="007F7F8B" w14:paraId="32089DA4" w14:textId="77777777" w:rsidTr="00FC2ED0">
        <w:trPr>
          <w:jc w:val="center"/>
        </w:trPr>
        <w:tc>
          <w:tcPr>
            <w:tcW w:w="10036" w:type="dxa"/>
            <w:tcBorders>
              <w:top w:val="single" w:sz="5" w:space="0" w:color="C9D7E5"/>
              <w:left w:val="single" w:sz="5" w:space="0" w:color="C9D7E5"/>
              <w:bottom w:val="single" w:sz="5" w:space="0" w:color="C9D7E5"/>
              <w:right w:val="single" w:sz="5" w:space="0" w:color="C9D7E5"/>
            </w:tcBorders>
            <w:shd w:val="clear" w:color="auto" w:fill="F4F7FB"/>
            <w:tcMar>
              <w:top w:w="100" w:type="dxa"/>
              <w:left w:w="140" w:type="dxa"/>
              <w:bottom w:w="100" w:type="dxa"/>
              <w:right w:w="140" w:type="dxa"/>
            </w:tcMar>
          </w:tcPr>
          <w:p w14:paraId="3B1F122A" w14:textId="77777777" w:rsidR="00E869E7" w:rsidRPr="007F7F8B" w:rsidRDefault="00E869E7" w:rsidP="00FC2ED0">
            <w:pPr>
              <w:spacing w:after="0" w:line="240" w:lineRule="auto"/>
              <w:rPr>
                <w:rFonts w:ascii="Times New Roman" w:hAnsi="Times New Roman" w:cs="Times New Roman"/>
                <w:sz w:val="22"/>
              </w:rPr>
            </w:pPr>
            <w:r w:rsidRPr="007F7F8B">
              <w:rPr>
                <w:rFonts w:ascii="Times New Roman" w:hAnsi="Times New Roman" w:cs="Times New Roman"/>
                <w:b/>
                <w:bCs/>
                <w:sz w:val="22"/>
              </w:rPr>
              <w:t>Document status:</w:t>
            </w:r>
            <w:r w:rsidRPr="007F7F8B">
              <w:rPr>
                <w:rFonts w:ascii="Times New Roman" w:hAnsi="Times New Roman" w:cs="Times New Roman"/>
                <w:sz w:val="22"/>
              </w:rPr>
              <w:t xml:space="preserve"> Draft for stakeholder consultation and institutional approval. This Faculty Gender Equality Plan is designed to complement and operate in alignment with Atılım University’s existing policies, institutional frameworks, and any University-level Gender Equality Plan or equivalent strategy.</w:t>
            </w:r>
          </w:p>
        </w:tc>
      </w:tr>
    </w:tbl>
    <w:p w14:paraId="0F9461E4" w14:textId="0058968A" w:rsidR="00E869E7" w:rsidRPr="007F7F8B" w:rsidRDefault="00FD5CDF" w:rsidP="00E869E7">
      <w:pPr>
        <w:spacing w:before="1900"/>
        <w:jc w:val="center"/>
        <w:rPr>
          <w:rFonts w:ascii="Times New Roman" w:hAnsi="Times New Roman" w:cs="Times New Roman"/>
        </w:rPr>
      </w:pPr>
      <w:r w:rsidRPr="007F7F8B">
        <w:rPr>
          <w:rFonts w:ascii="Times New Roman" w:hAnsi="Times New Roman" w:cs="Times New Roman"/>
          <w:color w:val="667085"/>
        </w:rPr>
        <w:t>Ankara •</w:t>
      </w:r>
      <w:r w:rsidR="00E869E7" w:rsidRPr="007F7F8B">
        <w:rPr>
          <w:rFonts w:ascii="Times New Roman" w:hAnsi="Times New Roman" w:cs="Times New Roman"/>
          <w:color w:val="667085"/>
        </w:rPr>
        <w:t xml:space="preserve">  September 2026</w:t>
      </w:r>
    </w:p>
    <w:p w14:paraId="4A7C1BFA"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40C8FC97" w14:textId="150C48F5" w:rsidR="00112DE2" w:rsidRPr="00112DE2" w:rsidRDefault="00112DE2" w:rsidP="00112DE2">
      <w:pPr>
        <w:spacing w:before="80" w:after="80"/>
        <w:rPr>
          <w:rFonts w:ascii="Times New Roman" w:hAnsi="Times New Roman" w:cs="Times New Roman"/>
          <w:b/>
          <w:color w:val="0B1D4D"/>
          <w:sz w:val="32"/>
          <w:szCs w:val="32"/>
        </w:rPr>
      </w:pPr>
      <w:r w:rsidRPr="00112DE2">
        <w:rPr>
          <w:rFonts w:ascii="Times New Roman" w:hAnsi="Times New Roman" w:cs="Times New Roman"/>
          <w:b/>
          <w:color w:val="0B1D4D"/>
          <w:sz w:val="32"/>
          <w:szCs w:val="32"/>
        </w:rPr>
        <w:lastRenderedPageBreak/>
        <w:t>Introduction</w:t>
      </w:r>
    </w:p>
    <w:p w14:paraId="164A2FD9" w14:textId="3CD7E490"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 xml:space="preserve">This Gender Equality Plan (GEP) provides the School of Business with a practical and structured framework for advancing gender equality during the 2027–2030 period. It brings together the </w:t>
      </w:r>
      <w:r w:rsidR="00D37FCA" w:rsidRPr="007F7F8B">
        <w:rPr>
          <w:rFonts w:ascii="Times New Roman" w:hAnsi="Times New Roman" w:cs="Times New Roman"/>
          <w:sz w:val="24"/>
          <w:szCs w:val="24"/>
        </w:rPr>
        <w:t>faculty’s</w:t>
      </w:r>
      <w:r w:rsidRPr="007F7F8B">
        <w:rPr>
          <w:rFonts w:ascii="Times New Roman" w:hAnsi="Times New Roman" w:cs="Times New Roman"/>
          <w:sz w:val="24"/>
          <w:szCs w:val="24"/>
        </w:rPr>
        <w:t xml:space="preserve"> available baseline data, identified priority areas, planned actions, institutional responsibilities, monitoring arrangements and relevant Horizon Europe requirements within a single implementation framework. The Plan is intended not only to support compliance with external expectations, but also to strengthen the integration of gender equality into the academic, administrative and decision-making processes.</w:t>
      </w:r>
    </w:p>
    <w:p w14:paraId="06E785F4"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The GEP is designed to be implemented through existing School of Business and University structures, with responsibilities shared across the Dean’s Office, relevant departments, administrative units and other institutional bodies. Its implementation will be supported by regular monitoring, systematic review of available gender-disaggregated data, and documentation of progress against agreed actions and indicators. Where baseline information is not yet available, the plan establishes a basis for strengthening data collection and monitoring during the implementation period.</w:t>
      </w:r>
    </w:p>
    <w:p w14:paraId="5EEADE5F"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The plan also provides a framework for reviewing progress over time and for adapting actions where necessary. Regular internal review is intended to ensure that the GEP remains responsive to verified data, institutional experience, stakeholder feedback and emerging needs. In this way, the plan serves both as an operational tool for the 2027–2030 period and as a basis for continuous institutional improvement in areas such as representation, leadership, work-life balance, recruitment and career development, teaching and research, and the prevention of gender-based discrimination and harassment.</w:t>
      </w:r>
    </w:p>
    <w:p w14:paraId="7361D453" w14:textId="77777777" w:rsidR="00E869E7" w:rsidRPr="007F7F8B" w:rsidRDefault="00E869E7" w:rsidP="00E869E7">
      <w:pPr>
        <w:spacing w:before="80" w:after="80"/>
        <w:rPr>
          <w:rFonts w:ascii="Times New Roman" w:hAnsi="Times New Roman" w:cs="Times New Roman"/>
          <w:b/>
          <w:color w:val="0B1D4D"/>
          <w:sz w:val="24"/>
        </w:rPr>
      </w:pPr>
    </w:p>
    <w:p w14:paraId="0B1B70FD" w14:textId="77777777" w:rsidR="00E869E7" w:rsidRPr="007F7F8B" w:rsidRDefault="00E869E7" w:rsidP="00E869E7">
      <w:pPr>
        <w:spacing w:before="80" w:after="80"/>
        <w:rPr>
          <w:rFonts w:ascii="Times New Roman" w:hAnsi="Times New Roman" w:cs="Times New Roman"/>
          <w:sz w:val="32"/>
          <w:szCs w:val="32"/>
        </w:rPr>
      </w:pPr>
      <w:r w:rsidRPr="007F7F8B">
        <w:rPr>
          <w:rFonts w:ascii="Times New Roman" w:hAnsi="Times New Roman" w:cs="Times New Roman"/>
          <w:b/>
          <w:color w:val="0B1D4D"/>
          <w:sz w:val="32"/>
          <w:szCs w:val="32"/>
        </w:rPr>
        <w:t>Content</w:t>
      </w:r>
    </w:p>
    <w:tbl>
      <w:tblPr>
        <w:tblW w:w="10036" w:type="dxa"/>
        <w:jc w:val="center"/>
        <w:tblLayout w:type="fixed"/>
        <w:tblLook w:val="04A0" w:firstRow="1" w:lastRow="0" w:firstColumn="1" w:lastColumn="0" w:noHBand="0" w:noVBand="1"/>
      </w:tblPr>
      <w:tblGrid>
        <w:gridCol w:w="5018"/>
        <w:gridCol w:w="5018"/>
      </w:tblGrid>
      <w:tr w:rsidR="00E869E7" w:rsidRPr="007F7F8B" w14:paraId="73C15408"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6CA3EB3"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Executive Summary</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7D439FD" w14:textId="1A8D5524" w:rsidR="00E869E7" w:rsidRPr="007F7F8B" w:rsidRDefault="00112DE2" w:rsidP="00FC2ED0">
            <w:pPr>
              <w:spacing w:after="0"/>
              <w:jc w:val="center"/>
              <w:rPr>
                <w:rFonts w:ascii="Times New Roman" w:hAnsi="Times New Roman" w:cs="Times New Roman"/>
                <w:sz w:val="24"/>
                <w:szCs w:val="24"/>
              </w:rPr>
            </w:pPr>
            <w:r>
              <w:rPr>
                <w:rFonts w:ascii="Times New Roman" w:hAnsi="Times New Roman" w:cs="Times New Roman"/>
                <w:sz w:val="24"/>
                <w:szCs w:val="24"/>
              </w:rPr>
              <w:t>3</w:t>
            </w:r>
          </w:p>
        </w:tc>
      </w:tr>
      <w:tr w:rsidR="00E869E7" w:rsidRPr="007F7F8B" w14:paraId="757913FE"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C1AECA"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1. Purpose, Scope and Institutional Position</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35B6D33" w14:textId="77777777"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4</w:t>
            </w:r>
          </w:p>
        </w:tc>
      </w:tr>
      <w:tr w:rsidR="00E869E7" w:rsidRPr="007F7F8B" w14:paraId="51DEE72E"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100E8A4"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2. Policy and Institutional Framework</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E9AEAC" w14:textId="77777777"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5</w:t>
            </w:r>
          </w:p>
        </w:tc>
      </w:tr>
      <w:tr w:rsidR="00E869E7" w:rsidRPr="007F7F8B" w14:paraId="7773C0FE"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F57C2B9"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3. Governance, Responsibilities and Resources</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4D62C72" w14:textId="77777777"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6</w:t>
            </w:r>
          </w:p>
        </w:tc>
      </w:tr>
      <w:tr w:rsidR="00E869E7" w:rsidRPr="007F7F8B" w14:paraId="69B3A940"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EBFB73A"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4. Baseline Gender Equality Assessment</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BE4F5BA" w14:textId="77777777"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7–10</w:t>
            </w:r>
          </w:p>
        </w:tc>
      </w:tr>
      <w:tr w:rsidR="00E869E7" w:rsidRPr="007F7F8B" w14:paraId="6D992937"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C70DD6F"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5. Strategic Priorities and Objectives</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0EBB55C" w14:textId="77777777"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11</w:t>
            </w:r>
          </w:p>
        </w:tc>
      </w:tr>
      <w:tr w:rsidR="00E869E7" w:rsidRPr="007F7F8B" w14:paraId="728D5536"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7CF15EC"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6. Action Plan 2027–2030</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E88D62D" w14:textId="3F5067FA"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12–1</w:t>
            </w:r>
            <w:r w:rsidR="00112DE2">
              <w:rPr>
                <w:rFonts w:ascii="Times New Roman" w:hAnsi="Times New Roman" w:cs="Times New Roman"/>
                <w:sz w:val="24"/>
                <w:szCs w:val="24"/>
              </w:rPr>
              <w:t>4</w:t>
            </w:r>
          </w:p>
        </w:tc>
      </w:tr>
      <w:tr w:rsidR="00E869E7" w:rsidRPr="007F7F8B" w14:paraId="1CF837C6"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30AE2CB"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7. Monitoring, Evaluation and Annual Indicators</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3AB480F" w14:textId="79F832D9"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14</w:t>
            </w:r>
            <w:r w:rsidR="00112DE2">
              <w:rPr>
                <w:rFonts w:ascii="Times New Roman" w:hAnsi="Times New Roman" w:cs="Times New Roman"/>
                <w:sz w:val="24"/>
                <w:szCs w:val="24"/>
              </w:rPr>
              <w:t>-15</w:t>
            </w:r>
          </w:p>
        </w:tc>
      </w:tr>
      <w:tr w:rsidR="00E869E7" w:rsidRPr="007F7F8B" w14:paraId="7F2A8871"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98075FA" w14:textId="30D58673"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 xml:space="preserve">8. </w:t>
            </w:r>
            <w:r w:rsidR="00112DE2" w:rsidRPr="007F7F8B">
              <w:rPr>
                <w:rFonts w:ascii="Times New Roman" w:hAnsi="Times New Roman" w:cs="Times New Roman"/>
                <w:sz w:val="24"/>
                <w:szCs w:val="24"/>
              </w:rPr>
              <w:t>Approval and Entry into Force</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03AE9DC" w14:textId="12BC36B0"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1</w:t>
            </w:r>
            <w:r w:rsidR="00112DE2">
              <w:rPr>
                <w:rFonts w:ascii="Times New Roman" w:hAnsi="Times New Roman" w:cs="Times New Roman"/>
                <w:sz w:val="24"/>
                <w:szCs w:val="24"/>
              </w:rPr>
              <w:t>5</w:t>
            </w:r>
          </w:p>
        </w:tc>
      </w:tr>
      <w:tr w:rsidR="00E869E7" w:rsidRPr="007F7F8B" w14:paraId="772FF05D" w14:textId="77777777" w:rsidTr="00112DE2">
        <w:trPr>
          <w:jc w:val="center"/>
        </w:trPr>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2D21F12" w14:textId="77777777" w:rsidR="00E869E7" w:rsidRPr="007F7F8B" w:rsidRDefault="00E869E7" w:rsidP="00FC2ED0">
            <w:pPr>
              <w:spacing w:after="0"/>
              <w:rPr>
                <w:rFonts w:ascii="Times New Roman" w:hAnsi="Times New Roman" w:cs="Times New Roman"/>
                <w:sz w:val="24"/>
                <w:szCs w:val="24"/>
              </w:rPr>
            </w:pPr>
            <w:r w:rsidRPr="007F7F8B">
              <w:rPr>
                <w:rFonts w:ascii="Times New Roman" w:hAnsi="Times New Roman" w:cs="Times New Roman"/>
                <w:sz w:val="24"/>
                <w:szCs w:val="24"/>
              </w:rPr>
              <w:t>References</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1FECDF5" w14:textId="77777777" w:rsidR="00E869E7" w:rsidRPr="007F7F8B" w:rsidRDefault="00E869E7" w:rsidP="00FC2ED0">
            <w:pPr>
              <w:spacing w:after="0"/>
              <w:jc w:val="center"/>
              <w:rPr>
                <w:rFonts w:ascii="Times New Roman" w:hAnsi="Times New Roman" w:cs="Times New Roman"/>
                <w:sz w:val="24"/>
                <w:szCs w:val="24"/>
              </w:rPr>
            </w:pPr>
            <w:r w:rsidRPr="007F7F8B">
              <w:rPr>
                <w:rFonts w:ascii="Times New Roman" w:hAnsi="Times New Roman" w:cs="Times New Roman"/>
                <w:sz w:val="24"/>
                <w:szCs w:val="24"/>
              </w:rPr>
              <w:t>15</w:t>
            </w:r>
          </w:p>
        </w:tc>
      </w:tr>
    </w:tbl>
    <w:p w14:paraId="0525211E"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7C741CCA"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Executive Summary</w:t>
      </w:r>
    </w:p>
    <w:p w14:paraId="0D8167A0" w14:textId="77777777" w:rsidR="00E869E7" w:rsidRPr="007F7F8B" w:rsidRDefault="00E869E7" w:rsidP="00E869E7">
      <w:pPr>
        <w:spacing w:after="80" w:line="257" w:lineRule="auto"/>
        <w:jc w:val="both"/>
        <w:rPr>
          <w:rFonts w:ascii="Times New Roman" w:hAnsi="Times New Roman" w:cs="Times New Roman"/>
          <w:sz w:val="24"/>
          <w:szCs w:val="24"/>
        </w:rPr>
      </w:pPr>
      <w:r w:rsidRPr="007F7F8B">
        <w:rPr>
          <w:rFonts w:ascii="Times New Roman" w:hAnsi="Times New Roman" w:cs="Times New Roman"/>
          <w:sz w:val="24"/>
          <w:szCs w:val="24"/>
        </w:rPr>
        <w:t xml:space="preserve">Atılım University School of Business is committed to promoting gender equality across education, research, employment, leadership and institutional life. The Gender Equality Plan 2027–2030 sets out the </w:t>
      </w:r>
      <w:r>
        <w:rPr>
          <w:rFonts w:ascii="Times New Roman" w:hAnsi="Times New Roman" w:cs="Times New Roman"/>
          <w:sz w:val="24"/>
          <w:szCs w:val="24"/>
        </w:rPr>
        <w:t>faculty’</w:t>
      </w:r>
      <w:r w:rsidRPr="007F7F8B">
        <w:rPr>
          <w:rFonts w:ascii="Times New Roman" w:hAnsi="Times New Roman" w:cs="Times New Roman"/>
          <w:sz w:val="24"/>
          <w:szCs w:val="24"/>
        </w:rPr>
        <w:t xml:space="preserve">s priorities and actions for strengthening equal opportunity, supporting an inclusive working and learning environment, and integrating gender equality into relevant academic and administrative processes. The </w:t>
      </w:r>
      <w:r>
        <w:rPr>
          <w:rFonts w:ascii="Times New Roman" w:hAnsi="Times New Roman" w:cs="Times New Roman"/>
          <w:sz w:val="24"/>
          <w:szCs w:val="24"/>
        </w:rPr>
        <w:t>p</w:t>
      </w:r>
      <w:r w:rsidRPr="007F7F8B">
        <w:rPr>
          <w:rFonts w:ascii="Times New Roman" w:hAnsi="Times New Roman" w:cs="Times New Roman"/>
          <w:sz w:val="24"/>
          <w:szCs w:val="24"/>
        </w:rPr>
        <w:t xml:space="preserve">lan builds on Atılım University’s existing institutional policies, mechanisms and support structures and provides a clear framework for implementation, monitoring and regular review. It is intended to support a consistent and evidence-based approach to gender equality while allowing the </w:t>
      </w:r>
      <w:r>
        <w:rPr>
          <w:rFonts w:ascii="Times New Roman" w:hAnsi="Times New Roman" w:cs="Times New Roman"/>
          <w:sz w:val="24"/>
          <w:szCs w:val="24"/>
        </w:rPr>
        <w:t>faculty</w:t>
      </w:r>
      <w:r w:rsidRPr="007F7F8B">
        <w:rPr>
          <w:rFonts w:ascii="Times New Roman" w:hAnsi="Times New Roman" w:cs="Times New Roman"/>
          <w:sz w:val="24"/>
          <w:szCs w:val="24"/>
        </w:rPr>
        <w:t xml:space="preserve"> to respond to differences that may emerge across departments, programs and decision-making structures over time.</w:t>
      </w:r>
    </w:p>
    <w:p w14:paraId="38710A84" w14:textId="77777777" w:rsidR="00E869E7" w:rsidRPr="007F7F8B" w:rsidRDefault="00E869E7" w:rsidP="00E869E7">
      <w:pPr>
        <w:spacing w:after="80" w:line="257" w:lineRule="auto"/>
        <w:jc w:val="both"/>
        <w:rPr>
          <w:rFonts w:ascii="Times New Roman" w:hAnsi="Times New Roman" w:cs="Times New Roman"/>
          <w:sz w:val="24"/>
          <w:szCs w:val="24"/>
        </w:rPr>
      </w:pPr>
    </w:p>
    <w:p w14:paraId="63AD35EE" w14:textId="77777777" w:rsidR="00E869E7" w:rsidRPr="007F7F8B" w:rsidRDefault="00E869E7" w:rsidP="00E869E7">
      <w:pPr>
        <w:spacing w:after="80" w:line="257" w:lineRule="auto"/>
        <w:jc w:val="both"/>
        <w:rPr>
          <w:rFonts w:ascii="Times New Roman" w:hAnsi="Times New Roman" w:cs="Times New Roman"/>
          <w:sz w:val="24"/>
          <w:szCs w:val="24"/>
        </w:rPr>
      </w:pPr>
      <w:r w:rsidRPr="007F7F8B">
        <w:rPr>
          <w:rFonts w:ascii="Times New Roman" w:hAnsi="Times New Roman" w:cs="Times New Roman"/>
          <w:sz w:val="24"/>
          <w:szCs w:val="24"/>
        </w:rPr>
        <w:t xml:space="preserve">The 2026 baseline covers ten departments/programs, 1,365 students and 64 academic staff members. Among students, 520 are female (38.1%) and 845 are male (61.9%). Among academic staff, 30 are female (46.9%) and 34 are male (53.1%). The school will use these figures as the starting point for monitoring representation throughout the implementation period. Department-level data are also presented because the pattern of representation differs across programs, and aggregate figures alone do not fully capture these variations. Monitoring at both </w:t>
      </w:r>
      <w:r>
        <w:rPr>
          <w:rFonts w:ascii="Times New Roman" w:hAnsi="Times New Roman" w:cs="Times New Roman"/>
          <w:sz w:val="24"/>
          <w:szCs w:val="24"/>
        </w:rPr>
        <w:t xml:space="preserve">faculty </w:t>
      </w:r>
      <w:r w:rsidRPr="007F7F8B">
        <w:rPr>
          <w:rFonts w:ascii="Times New Roman" w:hAnsi="Times New Roman" w:cs="Times New Roman"/>
          <w:sz w:val="24"/>
          <w:szCs w:val="24"/>
        </w:rPr>
        <w:t>and department level will therefore help identify where representation is relatively balanced and where additional attention may be needed.</w:t>
      </w:r>
    </w:p>
    <w:p w14:paraId="06FACC59" w14:textId="77777777" w:rsidR="00E869E7" w:rsidRPr="007F7F8B" w:rsidRDefault="00E869E7" w:rsidP="00E869E7">
      <w:pPr>
        <w:spacing w:after="80" w:line="257" w:lineRule="auto"/>
        <w:jc w:val="both"/>
        <w:rPr>
          <w:rFonts w:ascii="Times New Roman" w:hAnsi="Times New Roman" w:cs="Times New Roman"/>
          <w:sz w:val="24"/>
          <w:szCs w:val="24"/>
        </w:rPr>
      </w:pPr>
    </w:p>
    <w:p w14:paraId="5E7E207D" w14:textId="54FCBC94" w:rsidR="00E869E7" w:rsidRPr="007F7F8B" w:rsidRDefault="00E869E7" w:rsidP="00E869E7">
      <w:pPr>
        <w:spacing w:after="80" w:line="257" w:lineRule="auto"/>
        <w:jc w:val="both"/>
        <w:rPr>
          <w:rFonts w:ascii="Times New Roman" w:hAnsi="Times New Roman" w:cs="Times New Roman"/>
          <w:sz w:val="24"/>
          <w:szCs w:val="24"/>
        </w:rPr>
      </w:pPr>
      <w:r w:rsidRPr="007F7F8B">
        <w:rPr>
          <w:rFonts w:ascii="Times New Roman" w:hAnsi="Times New Roman" w:cs="Times New Roman"/>
          <w:sz w:val="24"/>
          <w:szCs w:val="24"/>
        </w:rPr>
        <w:t xml:space="preserve">Leadership and governance are monitored separately </w:t>
      </w:r>
      <w:r w:rsidR="00D37FCA" w:rsidRPr="007F7F8B">
        <w:rPr>
          <w:rFonts w:ascii="Times New Roman" w:hAnsi="Times New Roman" w:cs="Times New Roman"/>
          <w:sz w:val="24"/>
          <w:szCs w:val="24"/>
        </w:rPr>
        <w:t>to</w:t>
      </w:r>
      <w:r w:rsidRPr="007F7F8B">
        <w:rPr>
          <w:rFonts w:ascii="Times New Roman" w:hAnsi="Times New Roman" w:cs="Times New Roman"/>
          <w:sz w:val="24"/>
          <w:szCs w:val="24"/>
        </w:rPr>
        <w:t xml:space="preserve"> provide a more complete picture of participation in decision-making. Among the eight Heads of Department included in the baseline, one is female (12.5%) and seven are male (87.5%). The Faculty Board consists of six women (40.0%) and nine men (60.0%), while the Faculty Administrative Board consists of five women (71.4%) and two men (28.6%). These figures show that gender representation varies considerably across leadership and governance structures. For this reason, the Plan places particular emphasis on continued monitoring of leadership, committee participation and decision-making roles, rather than relying solely on overall academic staff composition.</w:t>
      </w:r>
    </w:p>
    <w:p w14:paraId="27B1310E" w14:textId="77777777" w:rsidR="00E869E7" w:rsidRPr="007F7F8B" w:rsidRDefault="00E869E7" w:rsidP="00E869E7">
      <w:pPr>
        <w:spacing w:after="80" w:line="257" w:lineRule="auto"/>
        <w:jc w:val="both"/>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10036"/>
      </w:tblGrid>
      <w:tr w:rsidR="00E869E7" w:rsidRPr="007F7F8B" w14:paraId="2FA0723F" w14:textId="77777777" w:rsidTr="00FC2ED0">
        <w:trPr>
          <w:jc w:val="center"/>
        </w:trPr>
        <w:tc>
          <w:tcPr>
            <w:tcW w:w="10036" w:type="dxa"/>
            <w:tcBorders>
              <w:top w:val="single" w:sz="5" w:space="0" w:color="C9D7E5"/>
              <w:left w:val="single" w:sz="5" w:space="0" w:color="C9D7E5"/>
              <w:bottom w:val="single" w:sz="5" w:space="0" w:color="C9D7E5"/>
              <w:right w:val="single" w:sz="5" w:space="0" w:color="C9D7E5"/>
            </w:tcBorders>
            <w:shd w:val="clear" w:color="auto" w:fill="F9E7ED"/>
            <w:tcMar>
              <w:top w:w="100" w:type="dxa"/>
              <w:left w:w="140" w:type="dxa"/>
              <w:bottom w:w="100" w:type="dxa"/>
              <w:right w:w="140" w:type="dxa"/>
            </w:tcMar>
          </w:tcPr>
          <w:p w14:paraId="53B3B12A" w14:textId="77777777" w:rsidR="00E869E7" w:rsidRPr="007F7F8B" w:rsidRDefault="00E869E7" w:rsidP="00FC2ED0">
            <w:pPr>
              <w:spacing w:after="0" w:line="240" w:lineRule="auto"/>
              <w:jc w:val="both"/>
              <w:rPr>
                <w:rFonts w:ascii="Times New Roman" w:hAnsi="Times New Roman" w:cs="Times New Roman"/>
                <w:sz w:val="24"/>
                <w:szCs w:val="24"/>
              </w:rPr>
            </w:pPr>
            <w:r w:rsidRPr="007F7F8B">
              <w:rPr>
                <w:rFonts w:ascii="Times New Roman" w:hAnsi="Times New Roman" w:cs="Times New Roman"/>
                <w:sz w:val="24"/>
                <w:szCs w:val="24"/>
              </w:rPr>
              <w:t>The Faculty GEP addresses five priority areas: work–life balance and organizational culture; leadership and decision-making; recruitment and career progression; the gender dimension in teaching and research; and measures against gender-based violence and sexual harassment. Each priority area is supported by specific actions, indicators, responsibilities and an implementation timetable. Together, these priorities are intended to strengthen institutional awareness, improve the visibility of gender-related patterns, support fair and inclusive practices, and encourage the systematic consideration of gender equality within the school’s academic and administrative activities.</w:t>
            </w:r>
          </w:p>
        </w:tc>
      </w:tr>
    </w:tbl>
    <w:p w14:paraId="394BBA7F" w14:textId="77777777" w:rsidR="00E869E7" w:rsidRPr="007F7F8B" w:rsidRDefault="00E869E7" w:rsidP="00E869E7">
      <w:pPr>
        <w:rPr>
          <w:rFonts w:ascii="Times New Roman" w:hAnsi="Times New Roman" w:cs="Times New Roman"/>
          <w:sz w:val="24"/>
          <w:szCs w:val="24"/>
        </w:rPr>
      </w:pPr>
    </w:p>
    <w:p w14:paraId="293E6B49" w14:textId="77777777" w:rsidR="00E869E7" w:rsidRPr="007F7F8B" w:rsidRDefault="00E869E7" w:rsidP="00E869E7">
      <w:pPr>
        <w:jc w:val="both"/>
        <w:rPr>
          <w:rFonts w:ascii="Times New Roman" w:hAnsi="Times New Roman" w:cs="Times New Roman"/>
        </w:rPr>
      </w:pPr>
      <w:r w:rsidRPr="007F7F8B">
        <w:rPr>
          <w:rFonts w:ascii="Times New Roman" w:hAnsi="Times New Roman" w:cs="Times New Roman"/>
          <w:sz w:val="24"/>
          <w:szCs w:val="24"/>
        </w:rPr>
        <w:t>The Plan is also supported by existing Atılım University mechanisms. The University’s Senate-approved policy on gender-based discrimination, sexual harassment and sexual assault establishes institutional principles on equality, inclusion, awareness, prevention, support and protection. KASAUM provides an established University structure for research, training, awareness-raising and cooperation in this field. The school will therefore implement the GEP in coordination with relevant University units, including KASAUM, Human Resources and other responsible administrative and academic bodies. This approach is intended to avoid duplication, make use of existing institutional expertise and ensure that Faculty-level actions remain consistent with university-wide policies and practices.</w:t>
      </w:r>
      <w:r w:rsidRPr="007F7F8B">
        <w:rPr>
          <w:rFonts w:ascii="Times New Roman" w:hAnsi="Times New Roman" w:cs="Times New Roman"/>
        </w:rPr>
        <w:br w:type="page"/>
      </w:r>
    </w:p>
    <w:p w14:paraId="5AA69E7E"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1. Purpose, Scope and Institutional Position</w:t>
      </w:r>
    </w:p>
    <w:p w14:paraId="451B32D9" w14:textId="77777777" w:rsidR="00E869E7" w:rsidRPr="007F7F8B" w:rsidRDefault="00E869E7" w:rsidP="00E869E7">
      <w:pPr>
        <w:spacing w:before="80" w:after="80"/>
        <w:rPr>
          <w:rFonts w:ascii="Times New Roman" w:hAnsi="Times New Roman" w:cs="Times New Roman"/>
          <w:sz w:val="24"/>
          <w:szCs w:val="24"/>
        </w:rPr>
      </w:pPr>
      <w:r w:rsidRPr="007F7F8B">
        <w:rPr>
          <w:rFonts w:ascii="Times New Roman" w:hAnsi="Times New Roman" w:cs="Times New Roman"/>
          <w:b/>
          <w:color w:val="0B1D4D"/>
          <w:sz w:val="24"/>
          <w:szCs w:val="24"/>
        </w:rPr>
        <w:t>1.1 Purpose</w:t>
      </w:r>
    </w:p>
    <w:p w14:paraId="3F7A77F6" w14:textId="77777777" w:rsidR="00E869E7" w:rsidRPr="007F7F8B" w:rsidRDefault="00E869E7" w:rsidP="00E869E7">
      <w:pPr>
        <w:spacing w:after="80" w:line="257" w:lineRule="auto"/>
        <w:jc w:val="both"/>
        <w:rPr>
          <w:rFonts w:ascii="Times New Roman" w:hAnsi="Times New Roman" w:cs="Times New Roman"/>
          <w:sz w:val="24"/>
          <w:szCs w:val="24"/>
        </w:rPr>
      </w:pPr>
      <w:r w:rsidRPr="007F7F8B">
        <w:rPr>
          <w:rFonts w:ascii="Times New Roman" w:hAnsi="Times New Roman" w:cs="Times New Roman"/>
          <w:sz w:val="24"/>
          <w:szCs w:val="24"/>
        </w:rPr>
        <w:t>The faculty aims to promote gender equality as an integral part of its education, research, employment, governance and working environment. The GEP provides a framework for identifying representation patterns, supporting equal opportunity, improving awareness and monitoring progress through measurable actions. The faculty will use the Plan to guide implementation during 2027–2030 and to support continuous institutional improvement.</w:t>
      </w:r>
    </w:p>
    <w:p w14:paraId="5858FCFF"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b/>
          <w:color w:val="0B1D4D"/>
          <w:sz w:val="24"/>
          <w:szCs w:val="24"/>
        </w:rPr>
        <w:t>1.2 Scope</w:t>
      </w:r>
    </w:p>
    <w:p w14:paraId="68EE9A4D"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 xml:space="preserve">The </w:t>
      </w:r>
      <w:r>
        <w:rPr>
          <w:rFonts w:ascii="Times New Roman" w:hAnsi="Times New Roman" w:cs="Times New Roman"/>
          <w:sz w:val="24"/>
          <w:szCs w:val="24"/>
        </w:rPr>
        <w:t>p</w:t>
      </w:r>
      <w:r w:rsidRPr="007F7F8B">
        <w:rPr>
          <w:rFonts w:ascii="Times New Roman" w:hAnsi="Times New Roman" w:cs="Times New Roman"/>
          <w:sz w:val="24"/>
          <w:szCs w:val="24"/>
        </w:rPr>
        <w:t xml:space="preserve">lan applies to the School of Business and to its departments, programs and relevant academic and administrative activities. It covers academic and administrative staff, full-time and part-time personnel, undergraduate and postgraduate students, and, where relevant, visiting researchers, project partners, alumni and external stakeholders participating in </w:t>
      </w:r>
      <w:r>
        <w:rPr>
          <w:rFonts w:ascii="Times New Roman" w:hAnsi="Times New Roman" w:cs="Times New Roman"/>
          <w:sz w:val="24"/>
          <w:szCs w:val="24"/>
        </w:rPr>
        <w:t>f</w:t>
      </w:r>
      <w:r w:rsidRPr="007F7F8B">
        <w:rPr>
          <w:rFonts w:ascii="Times New Roman" w:hAnsi="Times New Roman" w:cs="Times New Roman"/>
          <w:sz w:val="24"/>
          <w:szCs w:val="24"/>
        </w:rPr>
        <w:t xml:space="preserve">aculty activities. The scope of the GEP extends across the main areas of </w:t>
      </w:r>
      <w:r>
        <w:rPr>
          <w:rFonts w:ascii="Times New Roman" w:hAnsi="Times New Roman" w:cs="Times New Roman"/>
          <w:sz w:val="24"/>
          <w:szCs w:val="24"/>
        </w:rPr>
        <w:t>f</w:t>
      </w:r>
      <w:r w:rsidRPr="007F7F8B">
        <w:rPr>
          <w:rFonts w:ascii="Times New Roman" w:hAnsi="Times New Roman" w:cs="Times New Roman"/>
          <w:sz w:val="24"/>
          <w:szCs w:val="24"/>
        </w:rPr>
        <w:t>aculty life in which gender equality considerations may arise. These include recruitment and career development, participation in leadership and decision-making, working and learning conditions, access to academic and professional development opportunities, teaching and curriculum-related activities, research and project development, institutional events and representation, and awareness of mechanisms relating to discrimination, harassment and gender-based violence.</w:t>
      </w:r>
    </w:p>
    <w:p w14:paraId="24A269BF"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 xml:space="preserve">Where responsibilities or procedures fall under university-level units rather than the faculty itself, the </w:t>
      </w:r>
      <w:r>
        <w:rPr>
          <w:rFonts w:ascii="Times New Roman" w:hAnsi="Times New Roman" w:cs="Times New Roman"/>
          <w:sz w:val="24"/>
          <w:szCs w:val="24"/>
        </w:rPr>
        <w:t>f</w:t>
      </w:r>
      <w:r w:rsidRPr="007F7F8B">
        <w:rPr>
          <w:rFonts w:ascii="Times New Roman" w:hAnsi="Times New Roman" w:cs="Times New Roman"/>
          <w:sz w:val="24"/>
          <w:szCs w:val="24"/>
        </w:rPr>
        <w:t xml:space="preserve">aculty will work in coordination with the relevant institutional structures. This is particularly important in areas such as human resources, research support, training, institutional quality assurance and mechanisms for the prevention of and response to gender-based discrimination and sexual harassment. The </w:t>
      </w:r>
      <w:r>
        <w:rPr>
          <w:rFonts w:ascii="Times New Roman" w:hAnsi="Times New Roman" w:cs="Times New Roman"/>
          <w:sz w:val="24"/>
          <w:szCs w:val="24"/>
        </w:rPr>
        <w:t>p</w:t>
      </w:r>
      <w:r w:rsidRPr="007F7F8B">
        <w:rPr>
          <w:rFonts w:ascii="Times New Roman" w:hAnsi="Times New Roman" w:cs="Times New Roman"/>
          <w:sz w:val="24"/>
          <w:szCs w:val="24"/>
        </w:rPr>
        <w:t xml:space="preserve">lan therefore defines the faculty’s contribution within the broader institutional framework of Atılım University rather than establishing parallel procedures where </w:t>
      </w:r>
      <w:r>
        <w:rPr>
          <w:rFonts w:ascii="Times New Roman" w:hAnsi="Times New Roman" w:cs="Times New Roman"/>
          <w:sz w:val="24"/>
          <w:szCs w:val="24"/>
        </w:rPr>
        <w:t>u</w:t>
      </w:r>
      <w:r w:rsidRPr="007F7F8B">
        <w:rPr>
          <w:rFonts w:ascii="Times New Roman" w:hAnsi="Times New Roman" w:cs="Times New Roman"/>
          <w:sz w:val="24"/>
          <w:szCs w:val="24"/>
        </w:rPr>
        <w:t>niversity-level mechanisms already exist.</w:t>
      </w:r>
    </w:p>
    <w:p w14:paraId="05BF7BD6"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Implementation will take account of the different characteristics of departments and programs. Faculty-level indicators will be complemented, where appropriate and consistent with privacy requirements, by department</w:t>
      </w:r>
      <w:r>
        <w:rPr>
          <w:rFonts w:ascii="Times New Roman" w:hAnsi="Times New Roman" w:cs="Times New Roman"/>
          <w:sz w:val="24"/>
          <w:szCs w:val="24"/>
        </w:rPr>
        <w:t xml:space="preserve"> </w:t>
      </w:r>
      <w:r w:rsidRPr="007F7F8B">
        <w:rPr>
          <w:rFonts w:ascii="Times New Roman" w:hAnsi="Times New Roman" w:cs="Times New Roman"/>
          <w:sz w:val="24"/>
          <w:szCs w:val="24"/>
        </w:rPr>
        <w:t>or program-level information so that differences in representation and participation are not obscured by aggregate figures.</w:t>
      </w:r>
    </w:p>
    <w:p w14:paraId="1DFE841B"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b/>
          <w:color w:val="0B1D4D"/>
          <w:sz w:val="24"/>
          <w:szCs w:val="24"/>
        </w:rPr>
        <w:t>1.3 Institutional position of the Faculty GEP</w:t>
      </w:r>
    </w:p>
    <w:p w14:paraId="481EBE99"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The Faculty GEP is a faculty-level implementation, monitoring and improvement framework. It translates the faculty’s commitment to gender equality into a set of priorities, actions, responsibilities and monitoring arrangements that are relevant to its own academic and administrative context.</w:t>
      </w:r>
    </w:p>
    <w:p w14:paraId="5E82D5A9"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sz w:val="24"/>
          <w:szCs w:val="24"/>
        </w:rPr>
        <w:t xml:space="preserve">The </w:t>
      </w:r>
      <w:r>
        <w:rPr>
          <w:rFonts w:ascii="Times New Roman" w:hAnsi="Times New Roman" w:cs="Times New Roman"/>
          <w:sz w:val="24"/>
          <w:szCs w:val="24"/>
        </w:rPr>
        <w:t>p</w:t>
      </w:r>
      <w:r w:rsidRPr="007F7F8B">
        <w:rPr>
          <w:rFonts w:ascii="Times New Roman" w:hAnsi="Times New Roman" w:cs="Times New Roman"/>
          <w:sz w:val="24"/>
          <w:szCs w:val="24"/>
        </w:rPr>
        <w:t xml:space="preserve">lan is designed to operate within the existing institutional framework of Atılım University. It builds on university policies and structures relating to equality, non-discrimination, academic and administrative employment, quality assurance, research, student experience and the prevention of gender-based discrimination, sexual harassment and sexual assault. Where appropriate, implementation will be coordinated with relevant University units so that </w:t>
      </w:r>
      <w:r>
        <w:rPr>
          <w:rFonts w:ascii="Times New Roman" w:hAnsi="Times New Roman" w:cs="Times New Roman"/>
          <w:sz w:val="24"/>
          <w:szCs w:val="24"/>
        </w:rPr>
        <w:t>f</w:t>
      </w:r>
      <w:r w:rsidRPr="007F7F8B">
        <w:rPr>
          <w:rFonts w:ascii="Times New Roman" w:hAnsi="Times New Roman" w:cs="Times New Roman"/>
          <w:sz w:val="24"/>
          <w:szCs w:val="24"/>
        </w:rPr>
        <w:t>aculty-level actions remain consistent with established institutional policies and procedures.</w:t>
      </w:r>
    </w:p>
    <w:p w14:paraId="5C4BABAE" w14:textId="77777777" w:rsidR="00E869E7" w:rsidRPr="007F7F8B" w:rsidRDefault="00E869E7" w:rsidP="00E869E7">
      <w:pPr>
        <w:spacing w:before="80" w:after="80"/>
        <w:jc w:val="both"/>
        <w:rPr>
          <w:rFonts w:ascii="Times New Roman" w:hAnsi="Times New Roman" w:cs="Times New Roman"/>
          <w:sz w:val="24"/>
          <w:szCs w:val="24"/>
        </w:rPr>
      </w:pPr>
      <w:r w:rsidRPr="007F7F8B">
        <w:rPr>
          <w:rFonts w:ascii="Times New Roman" w:hAnsi="Times New Roman" w:cs="Times New Roman"/>
          <w:b/>
          <w:color w:val="0B1D4D"/>
          <w:sz w:val="24"/>
          <w:szCs w:val="24"/>
        </w:rPr>
        <w:t>1.4 Design principles</w:t>
      </w:r>
    </w:p>
    <w:p w14:paraId="5E0612A4" w14:textId="77777777" w:rsidR="00E869E7" w:rsidRPr="007F7F8B" w:rsidRDefault="00E869E7" w:rsidP="00E869E7">
      <w:pPr>
        <w:spacing w:after="80" w:line="257" w:lineRule="auto"/>
        <w:jc w:val="both"/>
        <w:rPr>
          <w:rFonts w:ascii="Times New Roman" w:hAnsi="Times New Roman" w:cs="Times New Roman"/>
          <w:sz w:val="24"/>
          <w:szCs w:val="24"/>
        </w:rPr>
      </w:pPr>
      <w:r w:rsidRPr="007F7F8B">
        <w:rPr>
          <w:rFonts w:ascii="Times New Roman" w:hAnsi="Times New Roman" w:cs="Times New Roman"/>
          <w:sz w:val="24"/>
          <w:szCs w:val="24"/>
        </w:rPr>
        <w:t xml:space="preserve">The </w:t>
      </w:r>
      <w:r>
        <w:rPr>
          <w:rFonts w:ascii="Times New Roman" w:hAnsi="Times New Roman" w:cs="Times New Roman"/>
          <w:sz w:val="24"/>
          <w:szCs w:val="24"/>
        </w:rPr>
        <w:t>p</w:t>
      </w:r>
      <w:r w:rsidRPr="007F7F8B">
        <w:rPr>
          <w:rFonts w:ascii="Times New Roman" w:hAnsi="Times New Roman" w:cs="Times New Roman"/>
          <w:sz w:val="24"/>
          <w:szCs w:val="24"/>
        </w:rPr>
        <w:t xml:space="preserve">lan is based on four principles: the use of verified data, proportionate action, coordination with existing institutional structures, and regular monitoring. Actions are linked either to observed baseline patterns or to clearly identified areas where additional data is required. The </w:t>
      </w:r>
      <w:r>
        <w:rPr>
          <w:rFonts w:ascii="Times New Roman" w:hAnsi="Times New Roman" w:cs="Times New Roman"/>
          <w:sz w:val="24"/>
          <w:szCs w:val="24"/>
        </w:rPr>
        <w:t>p</w:t>
      </w:r>
      <w:r w:rsidRPr="007F7F8B">
        <w:rPr>
          <w:rFonts w:ascii="Times New Roman" w:hAnsi="Times New Roman" w:cs="Times New Roman"/>
          <w:sz w:val="24"/>
          <w:szCs w:val="24"/>
        </w:rPr>
        <w:t>lan does not treat numerical balance as an automatic measure of equality and does not introduce quotas unless separately required by law or institutional policy.</w:t>
      </w:r>
    </w:p>
    <w:p w14:paraId="2A061504"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46610276" w14:textId="77777777" w:rsidR="00E869E7" w:rsidRPr="00752BB0" w:rsidRDefault="00E869E7" w:rsidP="00E869E7">
      <w:pPr>
        <w:pBdr>
          <w:bottom w:val="single" w:sz="8" w:space="2" w:color="5B8DB8"/>
        </w:pBdr>
        <w:spacing w:before="120" w:after="80"/>
        <w:rPr>
          <w:rFonts w:ascii="Times New Roman" w:hAnsi="Times New Roman" w:cs="Times New Roman"/>
        </w:rPr>
      </w:pPr>
      <w:r w:rsidRPr="00752BB0">
        <w:rPr>
          <w:rFonts w:ascii="Times New Roman" w:hAnsi="Times New Roman" w:cs="Times New Roman"/>
          <w:b/>
          <w:color w:val="0B1D4D"/>
          <w:sz w:val="32"/>
        </w:rPr>
        <w:lastRenderedPageBreak/>
        <w:t>2. Policy and Institutional Framework</w:t>
      </w:r>
    </w:p>
    <w:p w14:paraId="12A831B3" w14:textId="77777777" w:rsidR="00E869E7" w:rsidRPr="00752BB0" w:rsidRDefault="00E869E7" w:rsidP="00E869E7">
      <w:pPr>
        <w:spacing w:before="80" w:after="80"/>
        <w:rPr>
          <w:rFonts w:ascii="Times New Roman" w:hAnsi="Times New Roman" w:cs="Times New Roman"/>
          <w:sz w:val="24"/>
          <w:szCs w:val="24"/>
        </w:rPr>
      </w:pPr>
      <w:r w:rsidRPr="00752BB0">
        <w:rPr>
          <w:rFonts w:ascii="Times New Roman" w:hAnsi="Times New Roman" w:cs="Times New Roman"/>
          <w:b/>
          <w:color w:val="0B1D4D"/>
          <w:sz w:val="24"/>
          <w:szCs w:val="24"/>
        </w:rPr>
        <w:t>2.1 Horizon Europe framework</w:t>
      </w:r>
    </w:p>
    <w:p w14:paraId="598768C8" w14:textId="77777777" w:rsidR="00E869E7" w:rsidRPr="00752BB0" w:rsidRDefault="00E869E7" w:rsidP="00E869E7">
      <w:pPr>
        <w:spacing w:after="80" w:line="257" w:lineRule="auto"/>
        <w:jc w:val="both"/>
        <w:rPr>
          <w:rFonts w:ascii="Times New Roman" w:hAnsi="Times New Roman" w:cs="Times New Roman"/>
          <w:sz w:val="24"/>
          <w:szCs w:val="24"/>
        </w:rPr>
      </w:pPr>
      <w:r w:rsidRPr="00752BB0">
        <w:rPr>
          <w:rFonts w:ascii="Times New Roman" w:hAnsi="Times New Roman" w:cs="Times New Roman"/>
          <w:sz w:val="24"/>
          <w:szCs w:val="24"/>
        </w:rPr>
        <w:t>Horizon Europe requires eligible higher education institutions to maintain a public Gender Equality Plan supported by dedicated resources, gender-disaggregated data and monitoring, and training and awareness-raising. European guidance also recommends action on work–life balance and organizational culture, leadership and decision-making, recruitment and career progression, the gender dimension in research and teaching, and measures against gender-based violence.</w:t>
      </w:r>
    </w:p>
    <w:p w14:paraId="3ACBA8CF" w14:textId="5EE42B67" w:rsidR="00E869E7" w:rsidRPr="00752BB0" w:rsidRDefault="00E869E7" w:rsidP="00E869E7">
      <w:pPr>
        <w:spacing w:after="80" w:line="257" w:lineRule="auto"/>
        <w:jc w:val="both"/>
        <w:rPr>
          <w:rFonts w:ascii="Times New Roman" w:hAnsi="Times New Roman" w:cs="Times New Roman"/>
          <w:sz w:val="24"/>
          <w:szCs w:val="24"/>
        </w:rPr>
      </w:pPr>
      <w:r w:rsidRPr="00752BB0">
        <w:rPr>
          <w:rFonts w:ascii="Times New Roman" w:hAnsi="Times New Roman" w:cs="Times New Roman"/>
          <w:sz w:val="24"/>
          <w:szCs w:val="24"/>
        </w:rPr>
        <w:t xml:space="preserve">This faculty GEP addresses these requirements through its governance arrangements, baseline and monitoring framework, training actions, five priority areas, public reporting provisions and approval process. </w:t>
      </w:r>
    </w:p>
    <w:p w14:paraId="3217D31C" w14:textId="77777777" w:rsidR="00E869E7" w:rsidRPr="00752BB0" w:rsidRDefault="00E869E7" w:rsidP="00E869E7">
      <w:pPr>
        <w:spacing w:before="80" w:after="80"/>
        <w:jc w:val="both"/>
        <w:rPr>
          <w:rFonts w:ascii="Times New Roman" w:hAnsi="Times New Roman" w:cs="Times New Roman"/>
          <w:sz w:val="24"/>
          <w:szCs w:val="24"/>
        </w:rPr>
      </w:pPr>
      <w:r w:rsidRPr="00752BB0">
        <w:rPr>
          <w:rFonts w:ascii="Times New Roman" w:hAnsi="Times New Roman" w:cs="Times New Roman"/>
          <w:b/>
          <w:color w:val="0B1D4D"/>
          <w:sz w:val="24"/>
          <w:szCs w:val="24"/>
        </w:rPr>
        <w:t>2.2 Atılım University policy foundation</w:t>
      </w:r>
    </w:p>
    <w:p w14:paraId="570A9EB4" w14:textId="77777777" w:rsidR="00E869E7" w:rsidRPr="00752BB0" w:rsidRDefault="00E869E7" w:rsidP="00E869E7">
      <w:pPr>
        <w:spacing w:before="80" w:after="80"/>
        <w:jc w:val="both"/>
        <w:rPr>
          <w:rFonts w:ascii="Times New Roman" w:hAnsi="Times New Roman" w:cs="Times New Roman"/>
          <w:sz w:val="24"/>
          <w:szCs w:val="24"/>
        </w:rPr>
      </w:pPr>
      <w:r w:rsidRPr="00752BB0">
        <w:rPr>
          <w:rFonts w:ascii="Times New Roman" w:hAnsi="Times New Roman" w:cs="Times New Roman"/>
          <w:sz w:val="24"/>
          <w:szCs w:val="24"/>
        </w:rPr>
        <w:t>The Faculty GEP builds on Atılım University’s Policy Document on the Prevention of Gender-Based Discrimination, Sexual Harassment and Sexual Assault, adopted by Senate Decision No. 12 dated 24 July 2020. The policy confirms the University’s commitment to ensuring that all members of the University community can participate in academic life, education, research and institutional services on an equal basis. It also establishes principles and strategies for preventing gender-based discrimination, sexual harassment and sexual assault and for strengthening a safe and inclusive academic environment.</w:t>
      </w:r>
    </w:p>
    <w:p w14:paraId="4D774ECF" w14:textId="77777777" w:rsidR="00E869E7" w:rsidRPr="00752BB0" w:rsidRDefault="00E869E7" w:rsidP="00E869E7">
      <w:pPr>
        <w:spacing w:before="80" w:after="80"/>
        <w:jc w:val="both"/>
        <w:rPr>
          <w:rFonts w:ascii="Times New Roman" w:hAnsi="Times New Roman" w:cs="Times New Roman"/>
          <w:sz w:val="24"/>
          <w:szCs w:val="24"/>
        </w:rPr>
      </w:pPr>
      <w:r w:rsidRPr="00752BB0">
        <w:rPr>
          <w:rFonts w:ascii="Times New Roman" w:hAnsi="Times New Roman" w:cs="Times New Roman"/>
          <w:sz w:val="24"/>
          <w:szCs w:val="24"/>
        </w:rPr>
        <w:t>The University policy provides an important institutional foundation for the Faculty GEP because it addresses gender equality not only as a matter of protection from discrimination, but also as an issue to be considered across academic and administrative processes. It promotes awareness-raising among academic and administrative staff, equal opportunity in employment, greater participation of women in decision-making, work–life balance, gender-sensitive strategic planning and budgeting, support for gender-related research, the preparation of equality action plans and the provision of regular training.</w:t>
      </w:r>
    </w:p>
    <w:p w14:paraId="751738DB" w14:textId="77777777" w:rsidR="00E869E7" w:rsidRPr="00752BB0" w:rsidRDefault="00E869E7" w:rsidP="00E869E7">
      <w:pPr>
        <w:spacing w:before="80" w:after="80"/>
        <w:jc w:val="both"/>
        <w:rPr>
          <w:rFonts w:ascii="Times New Roman" w:hAnsi="Times New Roman" w:cs="Times New Roman"/>
          <w:sz w:val="24"/>
          <w:szCs w:val="24"/>
        </w:rPr>
      </w:pPr>
      <w:r w:rsidRPr="00752BB0">
        <w:rPr>
          <w:rFonts w:ascii="Times New Roman" w:hAnsi="Times New Roman" w:cs="Times New Roman"/>
          <w:sz w:val="24"/>
          <w:szCs w:val="24"/>
        </w:rPr>
        <w:t>The policy also establishes an institutional approach to prevention, protection and support in relation to gender-based violence and harassment. It addresses confidentiality, the prevention of secondary victimization, appropriate support mechanisms, awareness of violence, digital harassment and retaliation. These provisions are directly relevant to the implementation of the Faculty GEP and provide an established University framework within which Faculty-level actions can be developed.</w:t>
      </w:r>
    </w:p>
    <w:p w14:paraId="16ED2BB6" w14:textId="77777777" w:rsidR="00E869E7" w:rsidRPr="00752BB0" w:rsidRDefault="00E869E7" w:rsidP="00E869E7">
      <w:pPr>
        <w:spacing w:before="80" w:after="80"/>
        <w:jc w:val="both"/>
        <w:rPr>
          <w:rFonts w:ascii="Times New Roman" w:hAnsi="Times New Roman" w:cs="Times New Roman"/>
          <w:sz w:val="24"/>
          <w:szCs w:val="24"/>
        </w:rPr>
      </w:pPr>
      <w:r w:rsidRPr="00752BB0">
        <w:rPr>
          <w:rFonts w:ascii="Times New Roman" w:hAnsi="Times New Roman" w:cs="Times New Roman"/>
          <w:sz w:val="24"/>
          <w:szCs w:val="24"/>
        </w:rPr>
        <w:t>Accordingly, the Faculty GEP does not seek to create parallel procedures in areas already governed by university-level policies and mechanisms. Instead, it aims to strengthen the visibility, accessibility and implementation of existing commitments within the faculty context. Where actions require coordination beyond the faculty, the relevant University units will be involved so that implementation remains consistent with established institutional policies and responsibilities.</w:t>
      </w:r>
    </w:p>
    <w:p w14:paraId="23B2AC3A" w14:textId="77777777" w:rsidR="00E869E7" w:rsidRPr="00752BB0" w:rsidRDefault="00E869E7" w:rsidP="00E869E7">
      <w:pPr>
        <w:spacing w:before="80" w:after="80"/>
        <w:jc w:val="both"/>
        <w:rPr>
          <w:rFonts w:ascii="Times New Roman" w:hAnsi="Times New Roman" w:cs="Times New Roman"/>
          <w:sz w:val="24"/>
          <w:szCs w:val="24"/>
        </w:rPr>
      </w:pPr>
      <w:r w:rsidRPr="00752BB0">
        <w:rPr>
          <w:rFonts w:ascii="Times New Roman" w:hAnsi="Times New Roman" w:cs="Times New Roman"/>
          <w:b/>
          <w:color w:val="0B1D4D"/>
          <w:sz w:val="24"/>
          <w:szCs w:val="24"/>
        </w:rPr>
        <w:t>2.3 KASAUM as an institutional resource</w:t>
      </w:r>
    </w:p>
    <w:p w14:paraId="1885EF03" w14:textId="41CA4B0C" w:rsidR="00E869E7" w:rsidRPr="00752BB0" w:rsidRDefault="00E869E7" w:rsidP="00E869E7">
      <w:pPr>
        <w:jc w:val="both"/>
        <w:rPr>
          <w:rFonts w:ascii="Times New Roman" w:hAnsi="Times New Roman" w:cs="Times New Roman"/>
          <w:sz w:val="24"/>
          <w:szCs w:val="24"/>
        </w:rPr>
      </w:pPr>
      <w:r w:rsidRPr="00752BB0">
        <w:rPr>
          <w:rFonts w:ascii="Times New Roman" w:hAnsi="Times New Roman" w:cs="Times New Roman"/>
          <w:sz w:val="24"/>
          <w:szCs w:val="24"/>
        </w:rPr>
        <w:t xml:space="preserve">The Atılım University Women’s Studies Research and Application Centre (KASAUM) is an established institutional resource that can support the implementation of this </w:t>
      </w:r>
      <w:r>
        <w:rPr>
          <w:rFonts w:ascii="Times New Roman" w:hAnsi="Times New Roman" w:cs="Times New Roman"/>
          <w:sz w:val="24"/>
          <w:szCs w:val="24"/>
        </w:rPr>
        <w:t>p</w:t>
      </w:r>
      <w:r w:rsidRPr="00752BB0">
        <w:rPr>
          <w:rFonts w:ascii="Times New Roman" w:hAnsi="Times New Roman" w:cs="Times New Roman"/>
          <w:sz w:val="24"/>
          <w:szCs w:val="24"/>
        </w:rPr>
        <w:t xml:space="preserve">lan. Its formal mandate includes conducting and supporting research and projects, organizing national and international conferences, congresses, courses and seminars, contributing to teaching at undergraduate and postgraduate levels, providing consultancy, encouraging publication, developing relevant information resources and cooperating with public, private and international organizations. KASAUM’s experience and institutional role provide an important source of expertise for the </w:t>
      </w:r>
      <w:r w:rsidR="00D37FCA" w:rsidRPr="00752BB0">
        <w:rPr>
          <w:rFonts w:ascii="Times New Roman" w:hAnsi="Times New Roman" w:cs="Times New Roman"/>
          <w:sz w:val="24"/>
          <w:szCs w:val="24"/>
        </w:rPr>
        <w:t>faculty</w:t>
      </w:r>
      <w:r w:rsidRPr="00752BB0">
        <w:rPr>
          <w:rFonts w:ascii="Times New Roman" w:hAnsi="Times New Roman" w:cs="Times New Roman"/>
          <w:sz w:val="24"/>
          <w:szCs w:val="24"/>
        </w:rPr>
        <w:t xml:space="preserve"> in areas such as training, awareness-raising, consultation and the development of gender-sensitive practices. The </w:t>
      </w:r>
      <w:r w:rsidR="00D37FCA" w:rsidRPr="00752BB0">
        <w:rPr>
          <w:rFonts w:ascii="Times New Roman" w:hAnsi="Times New Roman" w:cs="Times New Roman"/>
          <w:sz w:val="24"/>
          <w:szCs w:val="24"/>
        </w:rPr>
        <w:t>faculty</w:t>
      </w:r>
      <w:r w:rsidRPr="00752BB0">
        <w:rPr>
          <w:rFonts w:ascii="Times New Roman" w:hAnsi="Times New Roman" w:cs="Times New Roman"/>
          <w:sz w:val="24"/>
          <w:szCs w:val="24"/>
        </w:rPr>
        <w:t xml:space="preserve"> will therefore cooperate with KASAUM, within its mandate, in the implementation of relevant GEP actions and in activities that can benefit from specialized knowledge or existing University-level experience.</w:t>
      </w:r>
    </w:p>
    <w:p w14:paraId="652EF392"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3. Governance, Responsibilities and Resources</w:t>
      </w:r>
    </w:p>
    <w:p w14:paraId="55430BB1" w14:textId="416CF8D7" w:rsidR="00E869E7" w:rsidRDefault="00E869E7" w:rsidP="00E869E7">
      <w:pPr>
        <w:spacing w:after="80" w:line="257" w:lineRule="auto"/>
        <w:jc w:val="both"/>
        <w:rPr>
          <w:rFonts w:ascii="Times New Roman" w:hAnsi="Times New Roman" w:cs="Times New Roman"/>
          <w:sz w:val="24"/>
          <w:szCs w:val="24"/>
        </w:rPr>
      </w:pPr>
      <w:r w:rsidRPr="00752BB0">
        <w:rPr>
          <w:rFonts w:ascii="Times New Roman" w:hAnsi="Times New Roman" w:cs="Times New Roman"/>
          <w:sz w:val="24"/>
          <w:szCs w:val="24"/>
        </w:rPr>
        <w:t xml:space="preserve">The Dean’s Office has overall responsibility for the Faculty GEP. A Faculty Gender Equality Committee is proposed to coordinate implementation, data collection, training, reporting and follow-up. Departmental contact persons will support data validation and local implementation. The </w:t>
      </w:r>
      <w:r w:rsidR="00D37FCA" w:rsidRPr="00752BB0">
        <w:rPr>
          <w:rFonts w:ascii="Times New Roman" w:hAnsi="Times New Roman" w:cs="Times New Roman"/>
          <w:sz w:val="24"/>
          <w:szCs w:val="24"/>
        </w:rPr>
        <w:t>faculty</w:t>
      </w:r>
      <w:r w:rsidRPr="00752BB0">
        <w:rPr>
          <w:rFonts w:ascii="Times New Roman" w:hAnsi="Times New Roman" w:cs="Times New Roman"/>
          <w:sz w:val="24"/>
          <w:szCs w:val="24"/>
        </w:rPr>
        <w:t xml:space="preserve"> will work with KASAUM, Human Resources, the Faculty Secretariat and relevant quality and accreditation structures according to their existing responsibilities.</w:t>
      </w:r>
    </w:p>
    <w:p w14:paraId="08247579" w14:textId="77777777" w:rsidR="00E869E7" w:rsidRPr="00752BB0" w:rsidRDefault="00E869E7" w:rsidP="00E869E7">
      <w:pPr>
        <w:spacing w:after="80" w:line="257" w:lineRule="auto"/>
        <w:jc w:val="both"/>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3345"/>
        <w:gridCol w:w="4762"/>
        <w:gridCol w:w="3345"/>
      </w:tblGrid>
      <w:tr w:rsidR="00E869E7" w:rsidRPr="00752BB0" w14:paraId="760B0AEB" w14:textId="77777777" w:rsidTr="00FC2ED0">
        <w:trPr>
          <w:tblHeader/>
          <w:jc w:val="center"/>
        </w:trPr>
        <w:tc>
          <w:tcPr>
            <w:tcW w:w="3345"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79BB5335" w14:textId="77777777" w:rsidR="00E869E7" w:rsidRPr="00752BB0" w:rsidRDefault="00E869E7" w:rsidP="00FC2ED0">
            <w:pPr>
              <w:spacing w:after="0"/>
              <w:jc w:val="center"/>
              <w:rPr>
                <w:rFonts w:ascii="Times New Roman" w:hAnsi="Times New Roman" w:cs="Times New Roman"/>
                <w:sz w:val="24"/>
                <w:szCs w:val="24"/>
              </w:rPr>
            </w:pPr>
            <w:r w:rsidRPr="00752BB0">
              <w:rPr>
                <w:rFonts w:ascii="Times New Roman" w:hAnsi="Times New Roman" w:cs="Times New Roman"/>
                <w:b/>
                <w:color w:val="FFFFFF"/>
                <w:sz w:val="24"/>
                <w:szCs w:val="24"/>
              </w:rPr>
              <w:t>Structure</w:t>
            </w:r>
          </w:p>
        </w:tc>
        <w:tc>
          <w:tcPr>
            <w:tcW w:w="3345"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2274178F" w14:textId="77777777" w:rsidR="00E869E7" w:rsidRPr="00752BB0" w:rsidRDefault="00E869E7" w:rsidP="00FC2ED0">
            <w:pPr>
              <w:spacing w:after="0"/>
              <w:jc w:val="center"/>
              <w:rPr>
                <w:rFonts w:ascii="Times New Roman" w:hAnsi="Times New Roman" w:cs="Times New Roman"/>
                <w:sz w:val="24"/>
                <w:szCs w:val="24"/>
              </w:rPr>
            </w:pPr>
            <w:r w:rsidRPr="00752BB0">
              <w:rPr>
                <w:rFonts w:ascii="Times New Roman" w:hAnsi="Times New Roman" w:cs="Times New Roman"/>
                <w:b/>
                <w:color w:val="FFFFFF"/>
                <w:sz w:val="24"/>
                <w:szCs w:val="24"/>
              </w:rPr>
              <w:t>Primary responsibility</w:t>
            </w:r>
          </w:p>
        </w:tc>
        <w:tc>
          <w:tcPr>
            <w:tcW w:w="3345"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5AB893CD" w14:textId="77777777" w:rsidR="00E869E7" w:rsidRPr="00752BB0" w:rsidRDefault="00E869E7" w:rsidP="00FC2ED0">
            <w:pPr>
              <w:spacing w:after="0"/>
              <w:jc w:val="center"/>
              <w:rPr>
                <w:rFonts w:ascii="Times New Roman" w:hAnsi="Times New Roman" w:cs="Times New Roman"/>
                <w:sz w:val="24"/>
                <w:szCs w:val="24"/>
              </w:rPr>
            </w:pPr>
            <w:r w:rsidRPr="00752BB0">
              <w:rPr>
                <w:rFonts w:ascii="Times New Roman" w:hAnsi="Times New Roman" w:cs="Times New Roman"/>
                <w:b/>
                <w:color w:val="FFFFFF"/>
                <w:sz w:val="24"/>
                <w:szCs w:val="24"/>
              </w:rPr>
              <w:t>Minimum evidence/output</w:t>
            </w:r>
          </w:p>
        </w:tc>
      </w:tr>
      <w:tr w:rsidR="00E869E7" w:rsidRPr="00752BB0" w14:paraId="3F85269E"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0AEC558"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Dean’s Office</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BD59111"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Owns the plan; confirms priorities; facilitates resources and institutional coordination; reviews annual results.</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B2B19AE"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Annual management review</w:t>
            </w:r>
          </w:p>
        </w:tc>
      </w:tr>
      <w:tr w:rsidR="00E869E7" w:rsidRPr="00752BB0" w14:paraId="25CAD254"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2273F5B"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Faculty GEP Committee</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6B67C98"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Coordinates data, actions, training, reporting and follow-up; consolidates departmental evidence.</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1D6BAD9"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Six-monthly implementation record</w:t>
            </w:r>
          </w:p>
        </w:tc>
      </w:tr>
      <w:tr w:rsidR="00E869E7" w:rsidRPr="00752BB0" w14:paraId="6F5722FA"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0F39C88"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Department GEP contact persons</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CC91134"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Support department-level data validation, action delivery and communication.</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8A5E536"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Department indicator update</w:t>
            </w:r>
          </w:p>
        </w:tc>
      </w:tr>
      <w:tr w:rsidR="00E869E7" w:rsidRPr="00752BB0" w14:paraId="3323B090"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CE5D344"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Faculty Secretariat</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7E6E10D"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Provides administrative records, meeting support and document control.</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F546141"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Verified administrative evidence</w:t>
            </w:r>
          </w:p>
        </w:tc>
      </w:tr>
      <w:tr w:rsidR="00E869E7" w:rsidRPr="00752BB0" w14:paraId="0CA23366"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B3955C2"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KASAUM / relevant University units</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19BDE53"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Provide institutional alignment, subject expertise, training or referral support within their existing mandates.</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3ACF0E4"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Training/coordination evidence</w:t>
            </w:r>
          </w:p>
        </w:tc>
      </w:tr>
      <w:tr w:rsidR="00E869E7" w:rsidRPr="00752BB0" w14:paraId="3623CE08"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59A77FE"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Quality / accreditation structures</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1FA1DFE"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Connect GEP findings to continuous-improvement processes and evidence files.</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35D877F" w14:textId="77777777" w:rsidR="00E869E7" w:rsidRPr="00752BB0" w:rsidRDefault="00E869E7" w:rsidP="00FC2ED0">
            <w:pPr>
              <w:spacing w:after="0"/>
              <w:rPr>
                <w:rFonts w:ascii="Times New Roman" w:hAnsi="Times New Roman" w:cs="Times New Roman"/>
                <w:sz w:val="24"/>
                <w:szCs w:val="24"/>
              </w:rPr>
            </w:pPr>
            <w:r>
              <w:rPr>
                <w:rFonts w:ascii="Times New Roman" w:hAnsi="Times New Roman" w:cs="Times New Roman"/>
                <w:sz w:val="24"/>
                <w:szCs w:val="24"/>
              </w:rPr>
              <w:t>C</w:t>
            </w:r>
            <w:r w:rsidRPr="00752BB0">
              <w:rPr>
                <w:rFonts w:ascii="Times New Roman" w:hAnsi="Times New Roman" w:cs="Times New Roman"/>
                <w:sz w:val="24"/>
                <w:szCs w:val="24"/>
              </w:rPr>
              <w:t>ontinuous improvement record based on the Plan–Do–Check–Act (PDCA) cycle</w:t>
            </w:r>
          </w:p>
        </w:tc>
      </w:tr>
      <w:tr w:rsidR="00E869E7" w:rsidRPr="00752BB0" w14:paraId="22C5E968" w14:textId="77777777" w:rsidTr="00FC2ED0">
        <w:trPr>
          <w:jc w:val="center"/>
        </w:trPr>
        <w:tc>
          <w:tcPr>
            <w:tcW w:w="226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6A3D9E8"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b/>
                <w:sz w:val="24"/>
                <w:szCs w:val="24"/>
              </w:rPr>
              <w:t>Students and other stakeholders</w:t>
            </w:r>
          </w:p>
        </w:tc>
        <w:tc>
          <w:tcPr>
            <w:tcW w:w="4762"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6EB5A52"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Provide structured feedback through consultation and survey mechanisms.</w:t>
            </w:r>
          </w:p>
        </w:tc>
        <w:tc>
          <w:tcPr>
            <w:tcW w:w="24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DF4C8BE" w14:textId="77777777" w:rsidR="00E869E7" w:rsidRPr="00752BB0" w:rsidRDefault="00E869E7" w:rsidP="00FC2ED0">
            <w:pPr>
              <w:spacing w:after="0"/>
              <w:rPr>
                <w:rFonts w:ascii="Times New Roman" w:hAnsi="Times New Roman" w:cs="Times New Roman"/>
                <w:sz w:val="24"/>
                <w:szCs w:val="24"/>
              </w:rPr>
            </w:pPr>
            <w:r w:rsidRPr="00752BB0">
              <w:rPr>
                <w:rFonts w:ascii="Times New Roman" w:hAnsi="Times New Roman" w:cs="Times New Roman"/>
                <w:sz w:val="24"/>
                <w:szCs w:val="24"/>
              </w:rPr>
              <w:t>Consultation/survey record</w:t>
            </w:r>
          </w:p>
        </w:tc>
      </w:tr>
    </w:tbl>
    <w:p w14:paraId="1D980018" w14:textId="77777777" w:rsidR="00E869E7" w:rsidRDefault="00E869E7" w:rsidP="00E869E7">
      <w:pPr>
        <w:spacing w:before="80" w:after="80"/>
        <w:rPr>
          <w:rFonts w:ascii="Times New Roman" w:hAnsi="Times New Roman" w:cs="Times New Roman"/>
          <w:b/>
          <w:color w:val="0B1D4D"/>
          <w:sz w:val="24"/>
          <w:szCs w:val="24"/>
        </w:rPr>
      </w:pPr>
    </w:p>
    <w:p w14:paraId="6B484CDE" w14:textId="77777777" w:rsidR="00E869E7" w:rsidRPr="00752BB0" w:rsidRDefault="00E869E7" w:rsidP="00E869E7">
      <w:pPr>
        <w:spacing w:before="80" w:after="80"/>
        <w:rPr>
          <w:rFonts w:ascii="Times New Roman" w:hAnsi="Times New Roman" w:cs="Times New Roman"/>
          <w:sz w:val="24"/>
          <w:szCs w:val="24"/>
        </w:rPr>
      </w:pPr>
      <w:r w:rsidRPr="00752BB0">
        <w:rPr>
          <w:rFonts w:ascii="Times New Roman" w:hAnsi="Times New Roman" w:cs="Times New Roman"/>
          <w:b/>
          <w:color w:val="0B1D4D"/>
          <w:sz w:val="24"/>
          <w:szCs w:val="24"/>
        </w:rPr>
        <w:t>3.1 Dedicated resources</w:t>
      </w:r>
    </w:p>
    <w:p w14:paraId="4FB9CAAC" w14:textId="048EFCA9" w:rsidR="00E869E7" w:rsidRDefault="00E869E7" w:rsidP="00E869E7">
      <w:pPr>
        <w:spacing w:after="80" w:line="257" w:lineRule="auto"/>
        <w:jc w:val="both"/>
        <w:rPr>
          <w:rFonts w:ascii="Times New Roman" w:hAnsi="Times New Roman" w:cs="Times New Roman"/>
          <w:sz w:val="24"/>
          <w:szCs w:val="24"/>
        </w:rPr>
      </w:pPr>
      <w:r w:rsidRPr="00752BB0">
        <w:rPr>
          <w:rFonts w:ascii="Times New Roman" w:hAnsi="Times New Roman" w:cs="Times New Roman"/>
          <w:sz w:val="24"/>
          <w:szCs w:val="24"/>
        </w:rPr>
        <w:t xml:space="preserve">The </w:t>
      </w:r>
      <w:r w:rsidR="00D37FCA" w:rsidRPr="00752BB0">
        <w:rPr>
          <w:rFonts w:ascii="Times New Roman" w:hAnsi="Times New Roman" w:cs="Times New Roman"/>
          <w:sz w:val="24"/>
          <w:szCs w:val="24"/>
        </w:rPr>
        <w:t>faculty</w:t>
      </w:r>
      <w:r w:rsidRPr="00752BB0">
        <w:rPr>
          <w:rFonts w:ascii="Times New Roman" w:hAnsi="Times New Roman" w:cs="Times New Roman"/>
          <w:sz w:val="24"/>
          <w:szCs w:val="24"/>
        </w:rPr>
        <w:t xml:space="preserve"> is committed to providing the resources needed for implementation. These resources may include assigned staff time, administrative support, data analysis, training activities, communication materials and, where necessary, expert support. The exact level of annual financial support will be determined through the University’s normal planning and budgeting processes.</w:t>
      </w:r>
    </w:p>
    <w:p w14:paraId="25A10339" w14:textId="77777777" w:rsidR="00E869E7" w:rsidRPr="00752BB0" w:rsidRDefault="00E869E7" w:rsidP="00E869E7">
      <w:pPr>
        <w:spacing w:after="80" w:line="257" w:lineRule="auto"/>
        <w:jc w:val="both"/>
        <w:rPr>
          <w:rFonts w:ascii="Times New Roman" w:hAnsi="Times New Roman" w:cs="Times New Roman"/>
          <w:sz w:val="24"/>
          <w:szCs w:val="24"/>
        </w:rPr>
      </w:pPr>
    </w:p>
    <w:p w14:paraId="2D057A46" w14:textId="77777777" w:rsidR="00E869E7" w:rsidRPr="00752BB0" w:rsidRDefault="00E869E7" w:rsidP="00E869E7">
      <w:pPr>
        <w:spacing w:before="80" w:after="80"/>
        <w:rPr>
          <w:rFonts w:ascii="Times New Roman" w:hAnsi="Times New Roman" w:cs="Times New Roman"/>
          <w:sz w:val="24"/>
          <w:szCs w:val="24"/>
        </w:rPr>
      </w:pPr>
      <w:r w:rsidRPr="00752BB0">
        <w:rPr>
          <w:rFonts w:ascii="Times New Roman" w:hAnsi="Times New Roman" w:cs="Times New Roman"/>
          <w:b/>
          <w:color w:val="0B1D4D"/>
          <w:sz w:val="24"/>
          <w:szCs w:val="24"/>
        </w:rPr>
        <w:t>3.2 Data governance and privacy</w:t>
      </w:r>
    </w:p>
    <w:p w14:paraId="46309DBB" w14:textId="43831A15" w:rsidR="00E869E7" w:rsidRPr="00752BB0" w:rsidRDefault="00E869E7" w:rsidP="00E869E7">
      <w:pPr>
        <w:spacing w:after="80" w:line="257" w:lineRule="auto"/>
        <w:jc w:val="both"/>
        <w:rPr>
          <w:rFonts w:ascii="Times New Roman" w:hAnsi="Times New Roman" w:cs="Times New Roman"/>
          <w:sz w:val="24"/>
          <w:szCs w:val="24"/>
        </w:rPr>
      </w:pPr>
      <w:r w:rsidRPr="00752BB0">
        <w:rPr>
          <w:rFonts w:ascii="Times New Roman" w:hAnsi="Times New Roman" w:cs="Times New Roman"/>
          <w:sz w:val="24"/>
          <w:szCs w:val="24"/>
        </w:rPr>
        <w:t xml:space="preserve">Gender-disaggregated data will be collected and reported in a way that protects privacy and complies with applicable data-protection requirements. Public reporting will use aggregated data. Where numbers are small, the </w:t>
      </w:r>
      <w:r w:rsidR="00D37FCA" w:rsidRPr="00752BB0">
        <w:rPr>
          <w:rFonts w:ascii="Times New Roman" w:hAnsi="Times New Roman" w:cs="Times New Roman"/>
          <w:sz w:val="24"/>
          <w:szCs w:val="24"/>
        </w:rPr>
        <w:t>faculty</w:t>
      </w:r>
      <w:r w:rsidRPr="00752BB0">
        <w:rPr>
          <w:rFonts w:ascii="Times New Roman" w:hAnsi="Times New Roman" w:cs="Times New Roman"/>
          <w:sz w:val="24"/>
          <w:szCs w:val="24"/>
        </w:rPr>
        <w:t xml:space="preserve"> will avoid publishing combinations of information that could identify individuals. Any data beyond the female/male categories used in the current baseline will only be collected where there is a clear legal basis, a defined purpose and appropriate safeguards.</w:t>
      </w:r>
    </w:p>
    <w:p w14:paraId="521FE1A7"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2C20B1E4"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4. Baseline Gender Equality Assessment</w:t>
      </w:r>
    </w:p>
    <w:p w14:paraId="7D5532B8" w14:textId="77777777" w:rsidR="00E869E7" w:rsidRPr="007F7F8B" w:rsidRDefault="00E869E7" w:rsidP="00E869E7">
      <w:pPr>
        <w:spacing w:before="80" w:after="80"/>
        <w:rPr>
          <w:rFonts w:ascii="Times New Roman" w:hAnsi="Times New Roman" w:cs="Times New Roman"/>
        </w:rPr>
      </w:pPr>
      <w:r w:rsidRPr="007F7F8B">
        <w:rPr>
          <w:rFonts w:ascii="Times New Roman" w:hAnsi="Times New Roman" w:cs="Times New Roman"/>
          <w:b/>
          <w:color w:val="0B1D4D"/>
          <w:sz w:val="24"/>
        </w:rPr>
        <w:t>4.1 Data basis and method</w:t>
      </w:r>
    </w:p>
    <w:p w14:paraId="4887B434" w14:textId="77777777" w:rsidR="00E869E7" w:rsidRDefault="00E869E7" w:rsidP="00E869E7">
      <w:pPr>
        <w:spacing w:after="40"/>
        <w:jc w:val="both"/>
        <w:rPr>
          <w:rFonts w:ascii="Times New Roman" w:hAnsi="Times New Roman" w:cs="Times New Roman"/>
          <w:sz w:val="24"/>
          <w:szCs w:val="24"/>
        </w:rPr>
      </w:pPr>
      <w:r w:rsidRPr="005C6FDB">
        <w:rPr>
          <w:rFonts w:ascii="Times New Roman" w:hAnsi="Times New Roman" w:cs="Times New Roman"/>
          <w:sz w:val="24"/>
          <w:szCs w:val="24"/>
        </w:rPr>
        <w:t xml:space="preserve">The 2026 baseline draws exclusively on verified data collected for the preparation of this </w:t>
      </w:r>
      <w:r>
        <w:rPr>
          <w:rFonts w:ascii="Times New Roman" w:hAnsi="Times New Roman" w:cs="Times New Roman"/>
          <w:sz w:val="24"/>
          <w:szCs w:val="24"/>
        </w:rPr>
        <w:t>p</w:t>
      </w:r>
      <w:r w:rsidRPr="005C6FDB">
        <w:rPr>
          <w:rFonts w:ascii="Times New Roman" w:hAnsi="Times New Roman" w:cs="Times New Roman"/>
          <w:sz w:val="24"/>
          <w:szCs w:val="24"/>
        </w:rPr>
        <w:t xml:space="preserve">lan. It covers ten programs and includes gender-disaggregated data on students, academic staff, administrative staff, Heads of Department, the Faculty Board and the Faculty Administrative Board. The baseline is used to describe the current distribution of women and men across the main groups represented within the Faculty and to provide a reference point for future monitoring. The figures do not, by themselves, explain the reasons for differences in representation and are not used as quotas. </w:t>
      </w:r>
    </w:p>
    <w:p w14:paraId="1919165F" w14:textId="77777777" w:rsidR="00E869E7" w:rsidRPr="005C6FDB" w:rsidRDefault="00E869E7" w:rsidP="00E869E7">
      <w:pPr>
        <w:spacing w:after="40"/>
        <w:jc w:val="both"/>
        <w:rPr>
          <w:rFonts w:ascii="Times New Roman" w:hAnsi="Times New Roman" w:cs="Times New Roman"/>
          <w:sz w:val="24"/>
          <w:szCs w:val="24"/>
        </w:rPr>
      </w:pPr>
    </w:p>
    <w:p w14:paraId="727BE811" w14:textId="77777777" w:rsidR="00E869E7" w:rsidRPr="007F7F8B" w:rsidRDefault="00E869E7" w:rsidP="00E869E7">
      <w:pPr>
        <w:spacing w:after="40"/>
        <w:jc w:val="center"/>
        <w:rPr>
          <w:rFonts w:ascii="Times New Roman" w:hAnsi="Times New Roman" w:cs="Times New Roman"/>
        </w:rPr>
      </w:pPr>
      <w:r w:rsidRPr="007F7F8B">
        <w:rPr>
          <w:rFonts w:ascii="Times New Roman" w:hAnsi="Times New Roman" w:cs="Times New Roman"/>
          <w:noProof/>
        </w:rPr>
        <w:drawing>
          <wp:inline distT="0" distB="0" distL="0" distR="0" wp14:anchorId="7AE5BB45" wp14:editId="5A4E491D">
            <wp:extent cx="6012000" cy="31989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faculty_baseline.png"/>
                    <pic:cNvPicPr/>
                  </pic:nvPicPr>
                  <pic:blipFill>
                    <a:blip r:embed="rId8"/>
                    <a:stretch>
                      <a:fillRect/>
                    </a:stretch>
                  </pic:blipFill>
                  <pic:spPr>
                    <a:xfrm>
                      <a:off x="0" y="0"/>
                      <a:ext cx="6012000" cy="3198986"/>
                    </a:xfrm>
                    <a:prstGeom prst="rect">
                      <a:avLst/>
                    </a:prstGeom>
                  </pic:spPr>
                </pic:pic>
              </a:graphicData>
            </a:graphic>
          </wp:inline>
        </w:drawing>
      </w:r>
    </w:p>
    <w:p w14:paraId="1682BECD" w14:textId="77777777" w:rsidR="00E869E7" w:rsidRPr="005C6FDB" w:rsidRDefault="00E869E7" w:rsidP="00E869E7">
      <w:pPr>
        <w:spacing w:after="60"/>
        <w:jc w:val="center"/>
        <w:rPr>
          <w:rFonts w:ascii="Times New Roman" w:hAnsi="Times New Roman" w:cs="Times New Roman"/>
          <w:sz w:val="22"/>
        </w:rPr>
      </w:pPr>
      <w:r w:rsidRPr="005C6FDB">
        <w:rPr>
          <w:rFonts w:ascii="Times New Roman" w:hAnsi="Times New Roman" w:cs="Times New Roman"/>
          <w:i/>
          <w:sz w:val="22"/>
        </w:rPr>
        <w:t>Figure 1. Faculty-wide baseline gender distribution based on the 2026 data supplied for the plan.</w:t>
      </w:r>
    </w:p>
    <w:p w14:paraId="30DE843B" w14:textId="77777777" w:rsidR="00E869E7" w:rsidRDefault="00E869E7" w:rsidP="00E869E7">
      <w:pPr>
        <w:spacing w:after="80" w:line="257" w:lineRule="auto"/>
        <w:jc w:val="both"/>
        <w:rPr>
          <w:rFonts w:ascii="Times New Roman" w:hAnsi="Times New Roman" w:cs="Times New Roman"/>
        </w:rPr>
      </w:pPr>
    </w:p>
    <w:p w14:paraId="6383A964" w14:textId="55F97D7D" w:rsidR="00E869E7" w:rsidRDefault="00E869E7" w:rsidP="00E869E7">
      <w:pPr>
        <w:spacing w:after="80" w:line="257" w:lineRule="auto"/>
        <w:jc w:val="both"/>
        <w:rPr>
          <w:rFonts w:ascii="Times New Roman" w:hAnsi="Times New Roman" w:cs="Times New Roman"/>
          <w:sz w:val="24"/>
          <w:szCs w:val="24"/>
        </w:rPr>
      </w:pPr>
      <w:r w:rsidRPr="005C6FDB">
        <w:rPr>
          <w:rFonts w:ascii="Times New Roman" w:hAnsi="Times New Roman" w:cs="Times New Roman"/>
          <w:sz w:val="24"/>
          <w:szCs w:val="24"/>
        </w:rPr>
        <w:t xml:space="preserve">The </w:t>
      </w:r>
      <w:r w:rsidR="00D37FCA" w:rsidRPr="005C6FDB">
        <w:rPr>
          <w:rFonts w:ascii="Times New Roman" w:hAnsi="Times New Roman" w:cs="Times New Roman"/>
          <w:sz w:val="24"/>
          <w:szCs w:val="24"/>
        </w:rPr>
        <w:t>faculty</w:t>
      </w:r>
      <w:r w:rsidRPr="005C6FDB">
        <w:rPr>
          <w:rFonts w:ascii="Times New Roman" w:hAnsi="Times New Roman" w:cs="Times New Roman"/>
          <w:sz w:val="24"/>
          <w:szCs w:val="24"/>
        </w:rPr>
        <w:t xml:space="preserve"> baseline includes 1,365 students, of whom 520 are women (38.1%) and 845 are men (61.9%). The academic-staff baseline includes 64 members, of whom 30 are women (46.9%) and 34 are men (53.1%). In addition, the </w:t>
      </w:r>
      <w:r w:rsidR="00D37FCA" w:rsidRPr="005C6FDB">
        <w:rPr>
          <w:rFonts w:ascii="Times New Roman" w:hAnsi="Times New Roman" w:cs="Times New Roman"/>
          <w:sz w:val="24"/>
          <w:szCs w:val="24"/>
        </w:rPr>
        <w:t>faculty</w:t>
      </w:r>
      <w:r w:rsidRPr="005C6FDB">
        <w:rPr>
          <w:rFonts w:ascii="Times New Roman" w:hAnsi="Times New Roman" w:cs="Times New Roman"/>
          <w:sz w:val="24"/>
          <w:szCs w:val="24"/>
        </w:rPr>
        <w:t xml:space="preserve"> has 5 administrative staff members, of whom 4 are women (80.0%) and 1 is a man (20.0%). The academic-staff profile is therefore close to overall gender balance, while the student population has a larger male majority. Administrative staff, by contrast, are predominantly women. These differences underline the importance of monitoring staff and student groups separately rather than relying only on an overall Faculty-level figure.</w:t>
      </w:r>
    </w:p>
    <w:p w14:paraId="4D0658FD" w14:textId="77777777" w:rsidR="00E869E7" w:rsidRPr="005C6FDB" w:rsidRDefault="00E869E7" w:rsidP="00E869E7">
      <w:pPr>
        <w:spacing w:after="80" w:line="257" w:lineRule="auto"/>
        <w:jc w:val="both"/>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10036"/>
      </w:tblGrid>
      <w:tr w:rsidR="00E869E7" w:rsidRPr="007F7F8B" w14:paraId="56F5611E" w14:textId="77777777" w:rsidTr="00FC2ED0">
        <w:trPr>
          <w:jc w:val="center"/>
        </w:trPr>
        <w:tc>
          <w:tcPr>
            <w:tcW w:w="10036" w:type="dxa"/>
            <w:tcBorders>
              <w:top w:val="single" w:sz="5" w:space="0" w:color="C9D7E5"/>
              <w:left w:val="single" w:sz="5" w:space="0" w:color="C9D7E5"/>
              <w:bottom w:val="single" w:sz="5" w:space="0" w:color="C9D7E5"/>
              <w:right w:val="single" w:sz="5" w:space="0" w:color="C9D7E5"/>
            </w:tcBorders>
            <w:shd w:val="clear" w:color="auto" w:fill="FFF6E8"/>
            <w:tcMar>
              <w:top w:w="100" w:type="dxa"/>
              <w:left w:w="140" w:type="dxa"/>
              <w:bottom w:w="100" w:type="dxa"/>
              <w:right w:w="140" w:type="dxa"/>
            </w:tcMar>
          </w:tcPr>
          <w:p w14:paraId="0790BED3" w14:textId="66BBA16D" w:rsidR="00E869E7" w:rsidRPr="005C6FDB" w:rsidRDefault="00E869E7" w:rsidP="00FC2ED0">
            <w:pPr>
              <w:spacing w:after="0" w:line="240" w:lineRule="auto"/>
              <w:rPr>
                <w:rFonts w:ascii="Times New Roman" w:hAnsi="Times New Roman" w:cs="Times New Roman"/>
                <w:sz w:val="24"/>
                <w:szCs w:val="24"/>
              </w:rPr>
            </w:pPr>
            <w:r w:rsidRPr="005C6FDB">
              <w:rPr>
                <w:rFonts w:ascii="Times New Roman" w:hAnsi="Times New Roman" w:cs="Times New Roman"/>
                <w:b/>
                <w:sz w:val="24"/>
                <w:szCs w:val="24"/>
              </w:rPr>
              <w:t xml:space="preserve">Data to be added / </w:t>
            </w:r>
            <w:r w:rsidRPr="005C6FDB">
              <w:rPr>
                <w:rFonts w:ascii="Times New Roman" w:hAnsi="Times New Roman" w:cs="Times New Roman"/>
                <w:sz w:val="24"/>
                <w:szCs w:val="24"/>
              </w:rPr>
              <w:t xml:space="preserve">Verified gender-disaggregated data are not yet available for recruitment and shortlisting and equality-related training participation. These areas will be incorporated into the monitoring framework when verified data </w:t>
            </w:r>
            <w:r w:rsidR="00D37FCA" w:rsidRPr="005C6FDB">
              <w:rPr>
                <w:rFonts w:ascii="Times New Roman" w:hAnsi="Times New Roman" w:cs="Times New Roman"/>
                <w:sz w:val="24"/>
                <w:szCs w:val="24"/>
              </w:rPr>
              <w:t>becomes</w:t>
            </w:r>
            <w:r w:rsidRPr="005C6FDB">
              <w:rPr>
                <w:rFonts w:ascii="Times New Roman" w:hAnsi="Times New Roman" w:cs="Times New Roman"/>
                <w:sz w:val="24"/>
                <w:szCs w:val="24"/>
              </w:rPr>
              <w:t xml:space="preserve"> available.</w:t>
            </w:r>
          </w:p>
        </w:tc>
      </w:tr>
    </w:tbl>
    <w:p w14:paraId="1E9BAC25"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5527BEAA"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4.2 Department-Level Baseline</w:t>
      </w:r>
    </w:p>
    <w:tbl>
      <w:tblPr>
        <w:tblW w:w="0" w:type="auto"/>
        <w:jc w:val="center"/>
        <w:tblLayout w:type="fixed"/>
        <w:tblLook w:val="04A0" w:firstRow="1" w:lastRow="0" w:firstColumn="1" w:lastColumn="0" w:noHBand="0" w:noVBand="1"/>
      </w:tblPr>
      <w:tblGrid>
        <w:gridCol w:w="2891"/>
        <w:gridCol w:w="1434"/>
        <w:gridCol w:w="1434"/>
        <w:gridCol w:w="1434"/>
        <w:gridCol w:w="1434"/>
        <w:gridCol w:w="1434"/>
        <w:gridCol w:w="1434"/>
      </w:tblGrid>
      <w:tr w:rsidR="00E869E7" w:rsidRPr="007F7F8B" w14:paraId="7CFBBF03" w14:textId="77777777" w:rsidTr="00FC2ED0">
        <w:trPr>
          <w:tblHeader/>
          <w:jc w:val="center"/>
        </w:trPr>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70CA549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Department / program</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1D1B7CEC"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F students</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294246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M students</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84565E0"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F students %</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29620FC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F staff</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3204111F"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M staff</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6111A535"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F staff %</w:t>
            </w:r>
          </w:p>
        </w:tc>
      </w:tr>
      <w:tr w:rsidR="00E869E7" w:rsidRPr="007F7F8B" w14:paraId="6CA6F1A8"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0DBD158"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Public Finance</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BFB158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56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A75BFDA"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24DBF9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45.9%</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BBB38C6"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87E03FC"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56B9E5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14.3%</w:t>
            </w:r>
          </w:p>
        </w:tc>
      </w:tr>
      <w:tr w:rsidR="00E869E7" w:rsidRPr="007F7F8B" w14:paraId="163ACC24"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B91A9BF"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International Trade and Logistics</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E29FDFE"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67</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C01F1E9"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124</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1AA3C34"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35.1%</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D47872"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41D9A49"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EB4B970"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60.0%</w:t>
            </w:r>
          </w:p>
        </w:tc>
      </w:tr>
      <w:tr w:rsidR="00E869E7" w:rsidRPr="007F7F8B" w14:paraId="5EAFA6ED"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8B63B5F"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Tourism Management</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210917E"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18</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0AA4A6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37</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FF5B4D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32.7%</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026E734"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F80ACF4"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677D83F"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50.0%</w:t>
            </w:r>
          </w:p>
        </w:tc>
      </w:tr>
      <w:tr w:rsidR="00E869E7" w:rsidRPr="007F7F8B" w14:paraId="30EA2468"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3A3BB3A"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Public Relations and Advertising</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B524D7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F731E01"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E5300A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52.2%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14CDCE9"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CC3B31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ABAF231"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42.9%</w:t>
            </w:r>
          </w:p>
        </w:tc>
      </w:tr>
      <w:tr w:rsidR="00E869E7" w:rsidRPr="007F7F8B" w14:paraId="4157F6F4"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183851F"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International Relations</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D96B9D9"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70</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A648D8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E9649C2"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60.3%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6988FE4"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5D4CD68"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FD8F5B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42.9%</w:t>
            </w:r>
          </w:p>
        </w:tc>
      </w:tr>
      <w:tr w:rsidR="00E869E7" w:rsidRPr="007F7F8B" w14:paraId="41459207"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6A9B765"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Business Administration (Turkish)</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7ED85D8"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E347561"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170</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D87CFC6"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28.0%</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E3AA7FC"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B4B4C36"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2B7690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50.0%</w:t>
            </w:r>
          </w:p>
        </w:tc>
      </w:tr>
      <w:tr w:rsidR="00E869E7" w:rsidRPr="007F7F8B" w14:paraId="133CAFC2"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4FFF7E0"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Business Administration (English)</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AD52458"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74</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DE000E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119</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58ED1C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38.3%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3131D9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5</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F639A61"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B26314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71.4%</w:t>
            </w:r>
          </w:p>
        </w:tc>
      </w:tr>
      <w:tr w:rsidR="00E869E7" w:rsidRPr="007F7F8B" w14:paraId="18D3B404"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A2F65D8"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Economics (English)</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762C412"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35</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308ADA6"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52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EFA7B3E"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40.2%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A56CD5D"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F1172CD"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B6E12C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20.0%</w:t>
            </w:r>
          </w:p>
        </w:tc>
      </w:tr>
      <w:tr w:rsidR="00E869E7" w:rsidRPr="007F7F8B" w14:paraId="120297AA"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CADAEC2"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Economics (Turkish)</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E160FE1"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30</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F6C2EEA"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88</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4508A5E"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25.4%</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0D91D4E"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445F50E"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AD6EB0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40.0%</w:t>
            </w:r>
          </w:p>
        </w:tc>
      </w:tr>
      <w:tr w:rsidR="00E869E7" w:rsidRPr="007F7F8B" w14:paraId="590E791B"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8810E1E"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Political Science and Public Administration</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075D51"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68</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793C866"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110</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B7BDCA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38.2%</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9CCC636"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FDCF3C3"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3</w:t>
            </w:r>
          </w:p>
        </w:tc>
        <w:tc>
          <w:tcPr>
            <w:tcW w:w="850"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A805A20"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sz w:val="24"/>
                <w:szCs w:val="24"/>
              </w:rPr>
              <w:t>66.7%</w:t>
            </w:r>
          </w:p>
        </w:tc>
      </w:tr>
      <w:tr w:rsidR="00E869E7" w:rsidRPr="007F7F8B" w14:paraId="162FF93C" w14:textId="77777777" w:rsidTr="00FC2ED0">
        <w:trPr>
          <w:jc w:val="center"/>
        </w:trPr>
        <w:tc>
          <w:tcPr>
            <w:tcW w:w="2891"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1B48E7D6" w14:textId="77777777" w:rsidR="00E869E7" w:rsidRPr="005C6FDB" w:rsidRDefault="00E869E7" w:rsidP="00FC2ED0">
            <w:pPr>
              <w:spacing w:after="0"/>
              <w:rPr>
                <w:rFonts w:ascii="Times New Roman" w:hAnsi="Times New Roman" w:cs="Times New Roman"/>
                <w:sz w:val="24"/>
                <w:szCs w:val="24"/>
              </w:rPr>
            </w:pPr>
            <w:r w:rsidRPr="005C6FDB">
              <w:rPr>
                <w:rFonts w:ascii="Times New Roman" w:hAnsi="Times New Roman" w:cs="Times New Roman"/>
                <w:b/>
                <w:sz w:val="24"/>
                <w:szCs w:val="24"/>
              </w:rPr>
              <w:t>TOTAL</w:t>
            </w:r>
          </w:p>
        </w:tc>
        <w:tc>
          <w:tcPr>
            <w:tcW w:w="850"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56F2CD37"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520</w:t>
            </w:r>
          </w:p>
        </w:tc>
        <w:tc>
          <w:tcPr>
            <w:tcW w:w="850"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3BB793F8"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845</w:t>
            </w:r>
          </w:p>
        </w:tc>
        <w:tc>
          <w:tcPr>
            <w:tcW w:w="850"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0CB45488"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38.1%</w:t>
            </w:r>
          </w:p>
        </w:tc>
        <w:tc>
          <w:tcPr>
            <w:tcW w:w="850"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7D1BAB29"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30</w:t>
            </w:r>
          </w:p>
        </w:tc>
        <w:tc>
          <w:tcPr>
            <w:tcW w:w="850"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29824838"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34</w:t>
            </w:r>
          </w:p>
        </w:tc>
        <w:tc>
          <w:tcPr>
            <w:tcW w:w="850"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06195DCB" w14:textId="77777777" w:rsidR="00E869E7" w:rsidRPr="005C6FDB" w:rsidRDefault="00E869E7" w:rsidP="00FC2ED0">
            <w:pPr>
              <w:spacing w:after="0"/>
              <w:jc w:val="center"/>
              <w:rPr>
                <w:rFonts w:ascii="Times New Roman" w:hAnsi="Times New Roman" w:cs="Times New Roman"/>
                <w:sz w:val="24"/>
                <w:szCs w:val="24"/>
              </w:rPr>
            </w:pPr>
            <w:r w:rsidRPr="005C6FDB">
              <w:rPr>
                <w:rFonts w:ascii="Times New Roman" w:hAnsi="Times New Roman" w:cs="Times New Roman"/>
                <w:b/>
                <w:sz w:val="24"/>
                <w:szCs w:val="24"/>
              </w:rPr>
              <w:t>46.9%</w:t>
            </w:r>
          </w:p>
        </w:tc>
      </w:tr>
    </w:tbl>
    <w:p w14:paraId="49792706" w14:textId="6C16DD84" w:rsidR="00E869E7" w:rsidRDefault="00D37FCA" w:rsidP="00E869E7">
      <w:pPr>
        <w:spacing w:after="60" w:line="257" w:lineRule="auto"/>
        <w:jc w:val="both"/>
        <w:rPr>
          <w:rFonts w:ascii="Times New Roman" w:hAnsi="Times New Roman" w:cs="Times New Roman"/>
        </w:rPr>
      </w:pPr>
      <w:r>
        <w:rPr>
          <w:rFonts w:ascii="Times New Roman" w:hAnsi="Times New Roman" w:cs="Times New Roman"/>
        </w:rPr>
        <w:t>Note: F: Female, M: Male</w:t>
      </w:r>
    </w:p>
    <w:p w14:paraId="47DADBCF" w14:textId="77777777" w:rsidR="00E869E7" w:rsidRDefault="00E869E7" w:rsidP="00E869E7">
      <w:pPr>
        <w:spacing w:after="60" w:line="257" w:lineRule="auto"/>
        <w:jc w:val="both"/>
        <w:rPr>
          <w:rFonts w:ascii="Times New Roman" w:hAnsi="Times New Roman" w:cs="Times New Roman"/>
          <w:sz w:val="24"/>
          <w:szCs w:val="24"/>
        </w:rPr>
      </w:pPr>
      <w:r w:rsidRPr="005C6FDB">
        <w:rPr>
          <w:rFonts w:ascii="Times New Roman" w:hAnsi="Times New Roman" w:cs="Times New Roman"/>
          <w:sz w:val="24"/>
          <w:szCs w:val="24"/>
        </w:rPr>
        <w:t>Gender representation differs across the ten departments/programs. For this reason, the Faculty will monitor departmental data in addition to the overall Faculty totals. The table below presents the verified student and academic-staff counts used for the 2026 baseline.</w:t>
      </w:r>
    </w:p>
    <w:p w14:paraId="322F6ABE" w14:textId="77777777" w:rsidR="00E869E7" w:rsidRPr="005C6FDB" w:rsidRDefault="00E869E7" w:rsidP="00E869E7">
      <w:pPr>
        <w:spacing w:after="60" w:line="257" w:lineRule="auto"/>
        <w:jc w:val="both"/>
        <w:rPr>
          <w:rFonts w:ascii="Times New Roman" w:hAnsi="Times New Roman" w:cs="Times New Roman"/>
          <w:sz w:val="24"/>
          <w:szCs w:val="24"/>
        </w:rPr>
      </w:pPr>
    </w:p>
    <w:p w14:paraId="601ECCFE" w14:textId="77777777" w:rsidR="00E869E7" w:rsidRPr="007F7F8B" w:rsidRDefault="00E869E7" w:rsidP="00E869E7">
      <w:pPr>
        <w:spacing w:after="40"/>
        <w:jc w:val="center"/>
        <w:rPr>
          <w:rFonts w:ascii="Times New Roman" w:hAnsi="Times New Roman" w:cs="Times New Roman"/>
        </w:rPr>
      </w:pPr>
      <w:r w:rsidRPr="005C6FDB">
        <w:rPr>
          <w:rFonts w:ascii="Times New Roman" w:hAnsi="Times New Roman" w:cs="Times New Roman"/>
          <w:noProof/>
        </w:rPr>
        <w:drawing>
          <wp:inline distT="0" distB="0" distL="0" distR="0" wp14:anchorId="0857D1E7" wp14:editId="2C1C41C4">
            <wp:extent cx="6372860" cy="3243580"/>
            <wp:effectExtent l="0" t="0" r="8890" b="0"/>
            <wp:docPr id="78386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67883" name=""/>
                    <pic:cNvPicPr/>
                  </pic:nvPicPr>
                  <pic:blipFill>
                    <a:blip r:embed="rId9"/>
                    <a:stretch>
                      <a:fillRect/>
                    </a:stretch>
                  </pic:blipFill>
                  <pic:spPr>
                    <a:xfrm>
                      <a:off x="0" y="0"/>
                      <a:ext cx="6372860" cy="3243580"/>
                    </a:xfrm>
                    <a:prstGeom prst="rect">
                      <a:avLst/>
                    </a:prstGeom>
                  </pic:spPr>
                </pic:pic>
              </a:graphicData>
            </a:graphic>
          </wp:inline>
        </w:drawing>
      </w:r>
    </w:p>
    <w:p w14:paraId="18AB218A" w14:textId="77777777" w:rsidR="00E869E7" w:rsidRPr="005C6FDB" w:rsidRDefault="00E869E7" w:rsidP="00E869E7">
      <w:pPr>
        <w:spacing w:after="60"/>
        <w:jc w:val="both"/>
        <w:rPr>
          <w:rFonts w:ascii="Times New Roman" w:hAnsi="Times New Roman" w:cs="Times New Roman"/>
          <w:sz w:val="22"/>
        </w:rPr>
      </w:pPr>
      <w:r w:rsidRPr="005C6FDB">
        <w:rPr>
          <w:rFonts w:ascii="Times New Roman" w:hAnsi="Times New Roman" w:cs="Times New Roman"/>
          <w:i/>
          <w:sz w:val="22"/>
        </w:rPr>
        <w:t>Figure 2. Female representation among students and academic staff by department/program. The dashed line marks 50%; it is a visual reference, not a quota.</w:t>
      </w:r>
    </w:p>
    <w:p w14:paraId="783268DF" w14:textId="77777777" w:rsidR="00E869E7" w:rsidRPr="005C6FDB" w:rsidRDefault="00E869E7" w:rsidP="00E869E7">
      <w:pPr>
        <w:jc w:val="both"/>
        <w:rPr>
          <w:rFonts w:ascii="Times New Roman" w:hAnsi="Times New Roman" w:cs="Times New Roman"/>
          <w:sz w:val="24"/>
          <w:szCs w:val="24"/>
        </w:rPr>
      </w:pPr>
      <w:r w:rsidRPr="007F7F8B">
        <w:rPr>
          <w:rFonts w:ascii="Times New Roman" w:hAnsi="Times New Roman" w:cs="Times New Roman"/>
        </w:rPr>
        <w:br w:type="page"/>
      </w:r>
      <w:r w:rsidRPr="005C6FDB">
        <w:rPr>
          <w:rFonts w:ascii="Times New Roman" w:hAnsi="Times New Roman" w:cs="Times New Roman"/>
          <w:sz w:val="24"/>
          <w:szCs w:val="24"/>
        </w:rPr>
        <w:lastRenderedPageBreak/>
        <w:t>The department-level figures show different patterns of representation. Female students form the majority in Public Relations and Advertising and International Relations, while male students form the majority in the other programs included in the baseline. Academic-staff representation is balanced in Tourism Management and Business Administration (Turkish), female-majority in International Trade and Logistics, Business Administration (English), and Political Science and Public Administration, and male-majority in the remaining departments.</w:t>
      </w:r>
    </w:p>
    <w:tbl>
      <w:tblPr>
        <w:tblW w:w="0" w:type="auto"/>
        <w:jc w:val="center"/>
        <w:tblLayout w:type="fixed"/>
        <w:tblLook w:val="04A0" w:firstRow="1" w:lastRow="0" w:firstColumn="1" w:lastColumn="0" w:noHBand="0" w:noVBand="1"/>
      </w:tblPr>
      <w:tblGrid>
        <w:gridCol w:w="5018"/>
        <w:gridCol w:w="5018"/>
      </w:tblGrid>
      <w:tr w:rsidR="00E869E7" w:rsidRPr="00FF76F3" w14:paraId="4D8639D0" w14:textId="77777777" w:rsidTr="00FC2ED0">
        <w:trPr>
          <w:jc w:val="center"/>
        </w:trPr>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40EE26A0"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Public Finance</w:t>
            </w:r>
          </w:p>
          <w:p w14:paraId="0B4CAC75"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122 students: 56 female (45.9%) and 66 male (54.1%). 7 academic staff: 1 female (14.3%) and 6 male (85.7%).</w:t>
            </w:r>
          </w:p>
        </w:tc>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1780C04D"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International Trade and Logistics</w:t>
            </w:r>
          </w:p>
          <w:p w14:paraId="415DFB80"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191 students: 67 female (35.1%) and 124 male (64.9%). 5 academic staff: 3 female (60.0%) and 2 male (40.0%).</w:t>
            </w:r>
          </w:p>
        </w:tc>
      </w:tr>
      <w:tr w:rsidR="00E869E7" w:rsidRPr="00FF76F3" w14:paraId="3C949455" w14:textId="77777777" w:rsidTr="00FC2ED0">
        <w:trPr>
          <w:jc w:val="center"/>
        </w:trPr>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3164B203"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Tourism Management</w:t>
            </w:r>
          </w:p>
          <w:p w14:paraId="7F0DE192"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55 students: 18 female (32.7%) and 37 male (67.3%). 6 academic staff: 3 female (50.0%) and 3 male (50.0%).</w:t>
            </w:r>
          </w:p>
        </w:tc>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52939EFD"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Public Relations and Advertising</w:t>
            </w:r>
          </w:p>
          <w:p w14:paraId="044740FB"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69 students: 36 female (52.2%) and 33 male (47.8%). 7 academic staff: 3 female (42.9%) and 4 male (57.1%).</w:t>
            </w:r>
          </w:p>
        </w:tc>
      </w:tr>
      <w:tr w:rsidR="00E869E7" w:rsidRPr="00FF76F3" w14:paraId="2495ABC0" w14:textId="77777777" w:rsidTr="00FC2ED0">
        <w:trPr>
          <w:jc w:val="center"/>
        </w:trPr>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2B0B4EBB"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International Relations</w:t>
            </w:r>
          </w:p>
          <w:p w14:paraId="6BD82B35"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116 students: 70 female (60.3%) and 46 male (39.7%). 7 academic staff: 3 female (42.9%) and 4 male (57.1%).</w:t>
            </w:r>
          </w:p>
        </w:tc>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5EFE70D6"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Business Administration (Turkish)</w:t>
            </w:r>
          </w:p>
          <w:p w14:paraId="623BA0D3"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236 students: 66 female (28.0%) and 170 male (72.0%). 6 academic staff: 3 female (50.0%) and 3 male (50.0%).</w:t>
            </w:r>
          </w:p>
        </w:tc>
      </w:tr>
      <w:tr w:rsidR="00E869E7" w:rsidRPr="00FF76F3" w14:paraId="6A26B47A" w14:textId="77777777" w:rsidTr="00FC2ED0">
        <w:trPr>
          <w:jc w:val="center"/>
        </w:trPr>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1CEAAA36"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Business Administration (English)</w:t>
            </w:r>
          </w:p>
          <w:p w14:paraId="71909BB4"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193 students: 74 female (38.3%) and 119 male (61.7%). 7 academic staff: 5 female (71.4%) and 2 male (28.6%).</w:t>
            </w:r>
          </w:p>
        </w:tc>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53B22A2C"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Economics (English)</w:t>
            </w:r>
          </w:p>
          <w:p w14:paraId="7508B578"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87 students: 35 female (40.2%) and 52 male (59.8%). 5 academic staff: 1 female (20.0%) and 4 male (80.0%).</w:t>
            </w:r>
          </w:p>
        </w:tc>
      </w:tr>
      <w:tr w:rsidR="00E869E7" w:rsidRPr="00FF76F3" w14:paraId="502F8B40" w14:textId="77777777" w:rsidTr="00FC2ED0">
        <w:trPr>
          <w:jc w:val="center"/>
        </w:trPr>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69E69E22"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Economics (Turkish)</w:t>
            </w:r>
          </w:p>
          <w:p w14:paraId="4F4D7B2E"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118 students: 30 female (25.4%) and 88 male (74.6%). 5 academic staff: 2 female (40.0%) and 3 male (60.0%).</w:t>
            </w:r>
          </w:p>
        </w:tc>
        <w:tc>
          <w:tcPr>
            <w:tcW w:w="5018" w:type="dxa"/>
            <w:tcBorders>
              <w:top w:val="single" w:sz="4" w:space="0" w:color="D9E2EC"/>
              <w:left w:val="single" w:sz="4" w:space="0" w:color="D9E2EC"/>
              <w:bottom w:val="single" w:sz="4" w:space="0" w:color="D9E2EC"/>
              <w:right w:val="single" w:sz="4" w:space="0" w:color="D9E2EC"/>
            </w:tcBorders>
            <w:shd w:val="clear" w:color="auto" w:fill="FAFBFC"/>
            <w:tcMar>
              <w:top w:w="80" w:type="dxa"/>
              <w:left w:w="100" w:type="dxa"/>
              <w:bottom w:w="80" w:type="dxa"/>
              <w:right w:w="100" w:type="dxa"/>
            </w:tcMar>
          </w:tcPr>
          <w:p w14:paraId="6A7B8513" w14:textId="77777777" w:rsidR="00E869E7" w:rsidRPr="00FF76F3" w:rsidRDefault="00E869E7" w:rsidP="00FC2ED0">
            <w:pPr>
              <w:spacing w:after="40"/>
              <w:rPr>
                <w:rFonts w:ascii="Times New Roman" w:hAnsi="Times New Roman" w:cs="Times New Roman"/>
                <w:sz w:val="22"/>
              </w:rPr>
            </w:pPr>
            <w:r w:rsidRPr="00FF76F3">
              <w:rPr>
                <w:rFonts w:ascii="Times New Roman" w:hAnsi="Times New Roman" w:cs="Times New Roman"/>
                <w:b/>
                <w:sz w:val="22"/>
              </w:rPr>
              <w:t>Political Science and Public Administration</w:t>
            </w:r>
          </w:p>
          <w:p w14:paraId="1FAD234A" w14:textId="77777777" w:rsidR="00E869E7" w:rsidRPr="00FF76F3" w:rsidRDefault="00E869E7" w:rsidP="00FC2ED0">
            <w:pPr>
              <w:spacing w:after="0" w:line="245" w:lineRule="auto"/>
              <w:rPr>
                <w:rFonts w:ascii="Times New Roman" w:hAnsi="Times New Roman" w:cs="Times New Roman"/>
                <w:sz w:val="22"/>
              </w:rPr>
            </w:pPr>
            <w:r w:rsidRPr="00FF76F3">
              <w:rPr>
                <w:rFonts w:ascii="Times New Roman" w:hAnsi="Times New Roman" w:cs="Times New Roman"/>
                <w:sz w:val="22"/>
              </w:rPr>
              <w:t>178 students: 68 female (38.2%) and 110 male (61.8%). 9 academic staff: 6 female (66.7%) and 3 male (33.3%).</w:t>
            </w:r>
          </w:p>
        </w:tc>
      </w:tr>
    </w:tbl>
    <w:p w14:paraId="4AFDE706" w14:textId="77777777" w:rsidR="00E869E7" w:rsidRPr="005C6FDB" w:rsidRDefault="00E869E7" w:rsidP="00E869E7">
      <w:pPr>
        <w:spacing w:after="40" w:line="257" w:lineRule="auto"/>
        <w:jc w:val="both"/>
        <w:rPr>
          <w:rFonts w:ascii="Times New Roman" w:hAnsi="Times New Roman" w:cs="Times New Roman"/>
          <w:sz w:val="24"/>
          <w:szCs w:val="24"/>
        </w:rPr>
      </w:pPr>
      <w:r w:rsidRPr="005C6FDB">
        <w:rPr>
          <w:rFonts w:ascii="Times New Roman" w:hAnsi="Times New Roman" w:cs="Times New Roman"/>
          <w:sz w:val="24"/>
          <w:szCs w:val="24"/>
        </w:rPr>
        <w:t>The comparison between student and academic-staff representation is used only as a monitoring indicator. It helps the Faculty identify where the composition of academic staff differs substantially from the composition of the student body. The Faculty will use these differences to guide further observation and discussion; they are not treated as evidence of unequal treatment on their own.</w:t>
      </w:r>
    </w:p>
    <w:p w14:paraId="0994A3AE" w14:textId="77777777" w:rsidR="00E869E7" w:rsidRPr="007F7F8B" w:rsidRDefault="00E869E7" w:rsidP="00E869E7">
      <w:pPr>
        <w:spacing w:after="40"/>
        <w:jc w:val="center"/>
        <w:rPr>
          <w:rFonts w:ascii="Times New Roman" w:hAnsi="Times New Roman" w:cs="Times New Roman"/>
        </w:rPr>
      </w:pPr>
      <w:r w:rsidRPr="007F7F8B">
        <w:rPr>
          <w:rFonts w:ascii="Times New Roman" w:hAnsi="Times New Roman" w:cs="Times New Roman"/>
          <w:noProof/>
        </w:rPr>
        <w:drawing>
          <wp:inline distT="0" distB="0" distL="0" distR="0" wp14:anchorId="5313D48B" wp14:editId="3ACDB841">
            <wp:extent cx="5903999" cy="27888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gap.png"/>
                    <pic:cNvPicPr/>
                  </pic:nvPicPr>
                  <pic:blipFill>
                    <a:blip r:embed="rId10"/>
                    <a:stretch>
                      <a:fillRect/>
                    </a:stretch>
                  </pic:blipFill>
                  <pic:spPr>
                    <a:xfrm>
                      <a:off x="0" y="0"/>
                      <a:ext cx="5903999" cy="2788872"/>
                    </a:xfrm>
                    <a:prstGeom prst="rect">
                      <a:avLst/>
                    </a:prstGeom>
                  </pic:spPr>
                </pic:pic>
              </a:graphicData>
            </a:graphic>
          </wp:inline>
        </w:drawing>
      </w:r>
    </w:p>
    <w:p w14:paraId="2657FD2A" w14:textId="77777777" w:rsidR="00E869E7" w:rsidRPr="00FF76F3" w:rsidRDefault="00E869E7" w:rsidP="00E869E7">
      <w:pPr>
        <w:spacing w:after="60"/>
        <w:rPr>
          <w:rFonts w:ascii="Times New Roman" w:hAnsi="Times New Roman" w:cs="Times New Roman"/>
          <w:sz w:val="22"/>
        </w:rPr>
      </w:pPr>
      <w:r w:rsidRPr="00FF76F3">
        <w:rPr>
          <w:rFonts w:ascii="Times New Roman" w:hAnsi="Times New Roman" w:cs="Times New Roman"/>
          <w:i/>
          <w:sz w:val="22"/>
        </w:rPr>
        <w:t>Figure 3. Difference between female academic-staff representation and female student representation within each department/program</w:t>
      </w:r>
      <w:r>
        <w:rPr>
          <w:rFonts w:ascii="Times New Roman" w:hAnsi="Times New Roman" w:cs="Times New Roman"/>
          <w:i/>
          <w:sz w:val="22"/>
        </w:rPr>
        <w:t>.</w:t>
      </w:r>
    </w:p>
    <w:p w14:paraId="1897FB84"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1998C6D4"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4.</w:t>
      </w:r>
      <w:r>
        <w:rPr>
          <w:rFonts w:ascii="Times New Roman" w:hAnsi="Times New Roman" w:cs="Times New Roman"/>
          <w:b/>
          <w:color w:val="0B1D4D"/>
          <w:sz w:val="32"/>
        </w:rPr>
        <w:t>3</w:t>
      </w:r>
      <w:r w:rsidRPr="007F7F8B">
        <w:rPr>
          <w:rFonts w:ascii="Times New Roman" w:hAnsi="Times New Roman" w:cs="Times New Roman"/>
          <w:b/>
          <w:color w:val="0B1D4D"/>
          <w:sz w:val="32"/>
        </w:rPr>
        <w:t xml:space="preserve"> Leadership and Governance Baseline</w:t>
      </w:r>
    </w:p>
    <w:p w14:paraId="15107E9F" w14:textId="72ABC12C" w:rsidR="00E869E7" w:rsidRPr="00FF76F3"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monitor leadership and decision-making separately from overall academic-staff composition. Although women account for 46.9% of academic staff in the baseline, only one of the eight Heads of Department is female (12.5%). The remaining seven Heads of Department are male (87.5%). This is the clearest representation gap identified in the current leadership data and will be followed throughout the implementation period.</w:t>
      </w:r>
    </w:p>
    <w:p w14:paraId="34D657CE" w14:textId="2FB7DD26" w:rsidR="00E869E7"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Representation on the Faculty’s main boards is more mixed. Women account for six of the 15 members of the Faculty Board (40.0%) and five of the seven members of the Faculty Administrative Board (71.4%).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continue to monitor each governance body separately, since aggregate figures may conceal differences between individual decision-making structures.</w:t>
      </w:r>
    </w:p>
    <w:p w14:paraId="1DF33C99" w14:textId="77777777" w:rsidR="00E869E7" w:rsidRPr="00FF76F3" w:rsidRDefault="00E869E7" w:rsidP="00E869E7">
      <w:pPr>
        <w:spacing w:after="80" w:line="257" w:lineRule="auto"/>
        <w:jc w:val="both"/>
        <w:rPr>
          <w:rFonts w:ascii="Times New Roman" w:hAnsi="Times New Roman" w:cs="Times New Roman"/>
          <w:sz w:val="24"/>
          <w:szCs w:val="24"/>
        </w:rPr>
      </w:pPr>
    </w:p>
    <w:p w14:paraId="17688D5B" w14:textId="77777777" w:rsidR="00E869E7" w:rsidRPr="007F7F8B" w:rsidRDefault="00E869E7" w:rsidP="00E869E7">
      <w:pPr>
        <w:spacing w:after="40"/>
        <w:jc w:val="center"/>
        <w:rPr>
          <w:rFonts w:ascii="Times New Roman" w:hAnsi="Times New Roman" w:cs="Times New Roman"/>
        </w:rPr>
      </w:pPr>
      <w:r w:rsidRPr="007F7F8B">
        <w:rPr>
          <w:rFonts w:ascii="Times New Roman" w:hAnsi="Times New Roman" w:cs="Times New Roman"/>
          <w:noProof/>
        </w:rPr>
        <w:drawing>
          <wp:inline distT="0" distB="0" distL="0" distR="0" wp14:anchorId="012274B4" wp14:editId="21E3BDC3">
            <wp:extent cx="5940000" cy="27409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governance.png"/>
                    <pic:cNvPicPr/>
                  </pic:nvPicPr>
                  <pic:blipFill>
                    <a:blip r:embed="rId11"/>
                    <a:stretch>
                      <a:fillRect/>
                    </a:stretch>
                  </pic:blipFill>
                  <pic:spPr>
                    <a:xfrm>
                      <a:off x="0" y="0"/>
                      <a:ext cx="5940000" cy="2740916"/>
                    </a:xfrm>
                    <a:prstGeom prst="rect">
                      <a:avLst/>
                    </a:prstGeom>
                  </pic:spPr>
                </pic:pic>
              </a:graphicData>
            </a:graphic>
          </wp:inline>
        </w:drawing>
      </w:r>
    </w:p>
    <w:p w14:paraId="21039262" w14:textId="77777777" w:rsidR="00E869E7" w:rsidRDefault="00E869E7" w:rsidP="00E869E7">
      <w:pPr>
        <w:spacing w:after="60"/>
        <w:jc w:val="center"/>
        <w:rPr>
          <w:rFonts w:ascii="Times New Roman" w:hAnsi="Times New Roman" w:cs="Times New Roman"/>
          <w:i/>
          <w:sz w:val="22"/>
        </w:rPr>
      </w:pPr>
      <w:r w:rsidRPr="00FF76F3">
        <w:rPr>
          <w:rFonts w:ascii="Times New Roman" w:hAnsi="Times New Roman" w:cs="Times New Roman"/>
          <w:i/>
          <w:sz w:val="22"/>
        </w:rPr>
        <w:t>Figure 4. Gender representation in department headship and faculty governance bodies.</w:t>
      </w:r>
    </w:p>
    <w:p w14:paraId="21138787" w14:textId="77777777" w:rsidR="00E869E7" w:rsidRPr="00FF76F3" w:rsidRDefault="00E869E7" w:rsidP="00E869E7">
      <w:pPr>
        <w:spacing w:after="60"/>
        <w:jc w:val="center"/>
        <w:rPr>
          <w:rFonts w:ascii="Times New Roman" w:hAnsi="Times New Roman" w:cs="Times New Roman"/>
          <w:sz w:val="22"/>
        </w:rPr>
      </w:pPr>
    </w:p>
    <w:p w14:paraId="05431C4A" w14:textId="46D65479" w:rsidR="00E869E7"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current baseline is limited to the data verified for this Plan. It does not include longitudinal recruitment and promotion data, administrative-staff data, applicant and shortlist data, project leadership, research-support access, training participation or survey results on work–life balance and organizational culture.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add these indicators when verified data becomes available. Until then, the Plan does not make claims about trends or causes that cannot be supported by the available evidence.</w:t>
      </w:r>
    </w:p>
    <w:p w14:paraId="7AA0F8FA" w14:textId="77777777" w:rsidR="00E869E7" w:rsidRPr="00FF76F3" w:rsidRDefault="00E869E7" w:rsidP="00E869E7">
      <w:pPr>
        <w:spacing w:after="80" w:line="257" w:lineRule="auto"/>
        <w:jc w:val="both"/>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10036"/>
      </w:tblGrid>
      <w:tr w:rsidR="00E869E7" w:rsidRPr="00FF76F3" w14:paraId="225C615C" w14:textId="77777777" w:rsidTr="00FC2ED0">
        <w:trPr>
          <w:jc w:val="center"/>
        </w:trPr>
        <w:tc>
          <w:tcPr>
            <w:tcW w:w="10036" w:type="dxa"/>
            <w:tcBorders>
              <w:top w:val="single" w:sz="5" w:space="0" w:color="C9D7E5"/>
              <w:left w:val="single" w:sz="5" w:space="0" w:color="C9D7E5"/>
              <w:bottom w:val="single" w:sz="5" w:space="0" w:color="C9D7E5"/>
              <w:right w:val="single" w:sz="5" w:space="0" w:color="C9D7E5"/>
            </w:tcBorders>
            <w:shd w:val="clear" w:color="auto" w:fill="F9E7ED"/>
            <w:tcMar>
              <w:top w:w="100" w:type="dxa"/>
              <w:left w:w="140" w:type="dxa"/>
              <w:bottom w:w="100" w:type="dxa"/>
              <w:right w:w="140" w:type="dxa"/>
            </w:tcMar>
          </w:tcPr>
          <w:p w14:paraId="0C7C9492" w14:textId="12B3010A" w:rsidR="00E869E7" w:rsidRPr="00FF76F3" w:rsidRDefault="00E869E7" w:rsidP="00FC2ED0">
            <w:pPr>
              <w:spacing w:after="0" w:line="240" w:lineRule="auto"/>
              <w:rPr>
                <w:rFonts w:ascii="Times New Roman" w:hAnsi="Times New Roman" w:cs="Times New Roman"/>
                <w:sz w:val="24"/>
                <w:szCs w:val="24"/>
              </w:rPr>
            </w:pPr>
            <w:r w:rsidRPr="00FF76F3">
              <w:rPr>
                <w:rFonts w:ascii="Times New Roman" w:hAnsi="Times New Roman" w:cs="Times New Roman"/>
                <w:b/>
                <w:sz w:val="24"/>
                <w:szCs w:val="24"/>
              </w:rPr>
              <w:t xml:space="preserve">Leadership baseline / </w:t>
            </w:r>
            <w:r w:rsidRPr="00FF76F3">
              <w:rPr>
                <w:rFonts w:ascii="Times New Roman" w:hAnsi="Times New Roman" w:cs="Times New Roman"/>
                <w:sz w:val="24"/>
                <w:szCs w:val="24"/>
              </w:rPr>
              <w:t xml:space="preserve">Women account for 12.5% of Heads of Department (1 of 8), compared with 46.9% of academic staff overall.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therefore monitor leadership representation and support leadership-development and mentoring actions during the Plan period.</w:t>
            </w:r>
          </w:p>
        </w:tc>
      </w:tr>
    </w:tbl>
    <w:p w14:paraId="4D0FC25D"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70A04F9C"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5. Strategic Priorities and Objectives</w:t>
      </w:r>
    </w:p>
    <w:p w14:paraId="511B0E1B" w14:textId="77777777" w:rsidR="00E869E7" w:rsidRPr="00FF76F3"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In line with Horizon Europe guidance and Atılım University’s existing institutional commitments, the Faculty GEP focuses on five priority areas. Each priority is linked to concrete actions, responsibilities and monitoring indicators for the 2027–2030 period.</w:t>
      </w:r>
    </w:p>
    <w:p w14:paraId="15F8F428" w14:textId="77777777" w:rsidR="00E869E7" w:rsidRDefault="00E869E7" w:rsidP="00E869E7">
      <w:pPr>
        <w:spacing w:before="80" w:after="80"/>
        <w:jc w:val="both"/>
        <w:rPr>
          <w:rFonts w:ascii="Times New Roman" w:hAnsi="Times New Roman" w:cs="Times New Roman"/>
          <w:b/>
          <w:color w:val="0B1D4D"/>
          <w:sz w:val="24"/>
          <w:szCs w:val="24"/>
        </w:rPr>
      </w:pPr>
    </w:p>
    <w:p w14:paraId="0ABB6DEA" w14:textId="77777777" w:rsidR="00E869E7" w:rsidRPr="00FF76F3" w:rsidRDefault="00E869E7" w:rsidP="00E869E7">
      <w:pPr>
        <w:spacing w:before="80" w:after="80"/>
        <w:jc w:val="both"/>
        <w:rPr>
          <w:rFonts w:ascii="Times New Roman" w:hAnsi="Times New Roman" w:cs="Times New Roman"/>
          <w:sz w:val="24"/>
          <w:szCs w:val="24"/>
        </w:rPr>
      </w:pPr>
      <w:r w:rsidRPr="00FF76F3">
        <w:rPr>
          <w:rFonts w:ascii="Times New Roman" w:hAnsi="Times New Roman" w:cs="Times New Roman"/>
          <w:b/>
          <w:color w:val="0B1D4D"/>
          <w:sz w:val="24"/>
          <w:szCs w:val="24"/>
        </w:rPr>
        <w:t>Priority 1 — Work–life balance and inclusive organizational culture</w:t>
      </w:r>
    </w:p>
    <w:p w14:paraId="53745325" w14:textId="1EE6816D" w:rsidR="00E869E7" w:rsidRPr="00FF76F3" w:rsidRDefault="00E869E7" w:rsidP="00E869E7">
      <w:pPr>
        <w:spacing w:after="6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is committed to promoting an organizational culture that supports work–life balance, inclusion and a sense of belonging. The GEP prioritizes regular monitoring of staff experience, care-sensitive scheduling of meetings and events, and the inclusion of gender-equality information in orientation activities. Where relevant University arrangements already exist, the Faculty will focus on communication and effective implementation rather than creating duplicate procedures.</w:t>
      </w:r>
    </w:p>
    <w:p w14:paraId="30A68191" w14:textId="77777777" w:rsidR="00E869E7" w:rsidRDefault="00E869E7" w:rsidP="00E869E7">
      <w:pPr>
        <w:spacing w:before="80" w:after="80"/>
        <w:jc w:val="both"/>
        <w:rPr>
          <w:rFonts w:ascii="Times New Roman" w:hAnsi="Times New Roman" w:cs="Times New Roman"/>
          <w:b/>
          <w:color w:val="0B1D4D"/>
          <w:sz w:val="24"/>
          <w:szCs w:val="24"/>
        </w:rPr>
      </w:pPr>
    </w:p>
    <w:p w14:paraId="7EC56A51" w14:textId="77777777" w:rsidR="00E869E7" w:rsidRPr="00FF76F3" w:rsidRDefault="00E869E7" w:rsidP="00E869E7">
      <w:pPr>
        <w:spacing w:before="80" w:after="80"/>
        <w:jc w:val="both"/>
        <w:rPr>
          <w:rFonts w:ascii="Times New Roman" w:hAnsi="Times New Roman" w:cs="Times New Roman"/>
          <w:sz w:val="24"/>
          <w:szCs w:val="24"/>
        </w:rPr>
      </w:pPr>
      <w:r w:rsidRPr="00FF76F3">
        <w:rPr>
          <w:rFonts w:ascii="Times New Roman" w:hAnsi="Times New Roman" w:cs="Times New Roman"/>
          <w:b/>
          <w:color w:val="0B1D4D"/>
          <w:sz w:val="24"/>
          <w:szCs w:val="24"/>
        </w:rPr>
        <w:t>Priority 2 — Gender balance in leadership and decision-making</w:t>
      </w:r>
    </w:p>
    <w:p w14:paraId="768CB30A" w14:textId="74B6E6B9" w:rsidR="00E869E7" w:rsidRPr="00FF76F3" w:rsidRDefault="00E869E7" w:rsidP="00E869E7">
      <w:pPr>
        <w:spacing w:after="6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is committed to promoting balanced participation in leadership and decision-making. The baseline shows that women are well represented in some governance bodies but are underrepresented among Heads of Department. The GEP therefore prioritizes annual monitoring of leadership and committee composition, balanced candidate pools where feasible, and leadership and mentoring opportunities that support progression.</w:t>
      </w:r>
    </w:p>
    <w:p w14:paraId="0EBD6C2A" w14:textId="77777777" w:rsidR="00E869E7" w:rsidRDefault="00E869E7" w:rsidP="00E869E7">
      <w:pPr>
        <w:spacing w:before="80" w:after="80"/>
        <w:jc w:val="both"/>
        <w:rPr>
          <w:rFonts w:ascii="Times New Roman" w:hAnsi="Times New Roman" w:cs="Times New Roman"/>
          <w:b/>
          <w:color w:val="0B1D4D"/>
          <w:sz w:val="24"/>
          <w:szCs w:val="24"/>
        </w:rPr>
      </w:pPr>
    </w:p>
    <w:p w14:paraId="13EB3F88" w14:textId="77777777" w:rsidR="00E869E7" w:rsidRPr="00FF76F3" w:rsidRDefault="00E869E7" w:rsidP="00E869E7">
      <w:pPr>
        <w:spacing w:before="80" w:after="80"/>
        <w:jc w:val="both"/>
        <w:rPr>
          <w:rFonts w:ascii="Times New Roman" w:hAnsi="Times New Roman" w:cs="Times New Roman"/>
          <w:sz w:val="24"/>
          <w:szCs w:val="24"/>
        </w:rPr>
      </w:pPr>
      <w:r w:rsidRPr="00FF76F3">
        <w:rPr>
          <w:rFonts w:ascii="Times New Roman" w:hAnsi="Times New Roman" w:cs="Times New Roman"/>
          <w:b/>
          <w:color w:val="0B1D4D"/>
          <w:sz w:val="24"/>
          <w:szCs w:val="24"/>
        </w:rPr>
        <w:t>Priority 3 — Gender equality in recruitment, career progression and academic recognition</w:t>
      </w:r>
    </w:p>
    <w:p w14:paraId="42F107B1" w14:textId="4AB7CE07" w:rsidR="00E869E7" w:rsidRPr="00FF76F3" w:rsidRDefault="00E869E7" w:rsidP="00E869E7">
      <w:pPr>
        <w:spacing w:after="6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supports gender-neutral, transparent and merit-based recruitment and career progression. The current baseline does not include verified recruitment, shortlisting or promotion data. The GEP therefore prioritizes inclusive language and transparent criteria, bias-awareness training for selection and evaluation bodies, and future monitoring of access to research funding, conference support and professional-development opportunities.</w:t>
      </w:r>
    </w:p>
    <w:p w14:paraId="33C0EF7D" w14:textId="77777777" w:rsidR="00E869E7" w:rsidRDefault="00E869E7" w:rsidP="00E869E7">
      <w:pPr>
        <w:spacing w:before="80" w:after="80"/>
        <w:jc w:val="both"/>
        <w:rPr>
          <w:rFonts w:ascii="Times New Roman" w:hAnsi="Times New Roman" w:cs="Times New Roman"/>
          <w:b/>
          <w:color w:val="0B1D4D"/>
          <w:sz w:val="24"/>
          <w:szCs w:val="24"/>
        </w:rPr>
      </w:pPr>
    </w:p>
    <w:p w14:paraId="0BB04E41" w14:textId="77777777" w:rsidR="00E869E7" w:rsidRPr="00FF76F3" w:rsidRDefault="00E869E7" w:rsidP="00E869E7">
      <w:pPr>
        <w:spacing w:before="80" w:after="80"/>
        <w:jc w:val="both"/>
        <w:rPr>
          <w:rFonts w:ascii="Times New Roman" w:hAnsi="Times New Roman" w:cs="Times New Roman"/>
          <w:sz w:val="24"/>
          <w:szCs w:val="24"/>
        </w:rPr>
      </w:pPr>
      <w:r w:rsidRPr="00FF76F3">
        <w:rPr>
          <w:rFonts w:ascii="Times New Roman" w:hAnsi="Times New Roman" w:cs="Times New Roman"/>
          <w:b/>
          <w:color w:val="0B1D4D"/>
          <w:sz w:val="24"/>
          <w:szCs w:val="24"/>
        </w:rPr>
        <w:t>Priority 4 — Gender dimension in teaching and research</w:t>
      </w:r>
    </w:p>
    <w:p w14:paraId="05B6BDCD" w14:textId="0F8A6394" w:rsidR="00E869E7" w:rsidRPr="00FF76F3" w:rsidRDefault="00E869E7" w:rsidP="00E869E7">
      <w:pPr>
        <w:spacing w:after="6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support the integration of the gender dimension into teaching and research where it is relevant to the subject matter, research question, data, method or expected impact. The GEP prioritizes course and program screening, guidance on diverse cases and reading materials, and training for researchers on the gender dimension in Horizon Europe proposals. The aim is to strengthen academic quality and relevance without requiring gender content where it is not substantively applicable.</w:t>
      </w:r>
    </w:p>
    <w:p w14:paraId="4E9C1F10" w14:textId="77777777" w:rsidR="00E869E7" w:rsidRDefault="00E869E7" w:rsidP="00E869E7">
      <w:pPr>
        <w:spacing w:before="80" w:after="80"/>
        <w:jc w:val="both"/>
        <w:rPr>
          <w:rFonts w:ascii="Times New Roman" w:hAnsi="Times New Roman" w:cs="Times New Roman"/>
          <w:b/>
          <w:color w:val="0B1D4D"/>
          <w:sz w:val="24"/>
          <w:szCs w:val="24"/>
        </w:rPr>
      </w:pPr>
    </w:p>
    <w:p w14:paraId="56608E7D" w14:textId="77777777" w:rsidR="00E869E7" w:rsidRPr="00FF76F3" w:rsidRDefault="00E869E7" w:rsidP="00E869E7">
      <w:pPr>
        <w:spacing w:before="80" w:after="80"/>
        <w:jc w:val="both"/>
        <w:rPr>
          <w:rFonts w:ascii="Times New Roman" w:hAnsi="Times New Roman" w:cs="Times New Roman"/>
          <w:sz w:val="24"/>
          <w:szCs w:val="24"/>
        </w:rPr>
      </w:pPr>
      <w:r w:rsidRPr="00FF76F3">
        <w:rPr>
          <w:rFonts w:ascii="Times New Roman" w:hAnsi="Times New Roman" w:cs="Times New Roman"/>
          <w:b/>
          <w:color w:val="0B1D4D"/>
          <w:sz w:val="24"/>
          <w:szCs w:val="24"/>
        </w:rPr>
        <w:t>Priority 5 — Safe environment: prevention of gender-based violence and sexual harassment</w:t>
      </w:r>
    </w:p>
    <w:p w14:paraId="51473DE8" w14:textId="4D025966" w:rsidR="00E869E7" w:rsidRPr="00FF76F3" w:rsidRDefault="00E869E7" w:rsidP="00E869E7">
      <w:pPr>
        <w:spacing w:after="6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is committed to maintaining a safe, inclusive and respectful environment for staff and students. Atılım University already has a Senate-approved policy addressing gender-based discrimination, sexual harassment, sexual assault, digital harassment and retaliation. The Faculty GEP therefore prioritizes awareness of existing procedures and </w:t>
      </w:r>
      <w:r w:rsidR="00D37FCA" w:rsidRPr="00FF76F3">
        <w:rPr>
          <w:rFonts w:ascii="Times New Roman" w:hAnsi="Times New Roman" w:cs="Times New Roman"/>
          <w:sz w:val="24"/>
          <w:szCs w:val="24"/>
        </w:rPr>
        <w:t>supports</w:t>
      </w:r>
      <w:r w:rsidRPr="00FF76F3">
        <w:rPr>
          <w:rFonts w:ascii="Times New Roman" w:hAnsi="Times New Roman" w:cs="Times New Roman"/>
          <w:sz w:val="24"/>
          <w:szCs w:val="24"/>
        </w:rPr>
        <w:t xml:space="preserve"> mechanisms, regular training, coordination with relevant University units and confidential monitoring of trust and awareness.</w:t>
      </w:r>
    </w:p>
    <w:p w14:paraId="351EC7B8"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78E0C0E5"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6. Action Plan 2027–2030</w:t>
      </w:r>
    </w:p>
    <w:p w14:paraId="61551656" w14:textId="77777777" w:rsidR="00E869E7"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The following action plan sets out the measures to be implemented during 2027–2030. Each action includes an indicator, starting point where available, intended target or output, responsible unit and implementation period. Actions for which verified baseline data are not yet available are identified as areas to be established during implementation rather than being assigned estimated values.</w:t>
      </w:r>
    </w:p>
    <w:p w14:paraId="1846D8E8" w14:textId="77777777" w:rsidR="00E869E7" w:rsidRDefault="00E869E7" w:rsidP="00E869E7">
      <w:pPr>
        <w:spacing w:after="80" w:line="257" w:lineRule="auto"/>
        <w:jc w:val="both"/>
        <w:rPr>
          <w:rFonts w:ascii="Times New Roman" w:hAnsi="Times New Roman" w:cs="Times New Roman"/>
          <w:sz w:val="24"/>
          <w:szCs w:val="24"/>
        </w:rPr>
      </w:pPr>
    </w:p>
    <w:tbl>
      <w:tblPr>
        <w:tblW w:w="11802" w:type="dxa"/>
        <w:jc w:val="center"/>
        <w:tblLayout w:type="fixed"/>
        <w:tblLook w:val="04A0" w:firstRow="1" w:lastRow="0" w:firstColumn="1" w:lastColumn="0" w:noHBand="0" w:noVBand="1"/>
      </w:tblPr>
      <w:tblGrid>
        <w:gridCol w:w="1434"/>
        <w:gridCol w:w="2835"/>
        <w:gridCol w:w="1757"/>
        <w:gridCol w:w="1434"/>
        <w:gridCol w:w="1434"/>
        <w:gridCol w:w="1474"/>
        <w:gridCol w:w="1434"/>
      </w:tblGrid>
      <w:tr w:rsidR="00E869E7" w:rsidRPr="00FF76F3" w14:paraId="1E80AB13" w14:textId="77777777" w:rsidTr="00FC2ED0">
        <w:trPr>
          <w:tblHeader/>
          <w:jc w:val="center"/>
        </w:trPr>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70FBF2D4"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Code</w:t>
            </w:r>
          </w:p>
        </w:tc>
        <w:tc>
          <w:tcPr>
            <w:tcW w:w="2835"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0C9F91D9"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Action</w:t>
            </w:r>
          </w:p>
        </w:tc>
        <w:tc>
          <w:tcPr>
            <w:tcW w:w="1757"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60AAFBC9"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Indicator</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1A8A3293"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Baseline</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2C3021A"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Target/output</w:t>
            </w:r>
          </w:p>
        </w:tc>
        <w:tc>
          <w:tcPr>
            <w:tcW w:w="147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E346AF9"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Responsible</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BF8AFE4"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FFFFFF"/>
                <w:sz w:val="22"/>
              </w:rPr>
              <w:t>Period</w:t>
            </w:r>
          </w:p>
        </w:tc>
      </w:tr>
      <w:tr w:rsidR="00E869E7" w:rsidRPr="00FF76F3" w14:paraId="3251EC9B"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92FCB4C"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1.1</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99702D1"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Conduct an annual work–life balance and belonging survey.</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153EE75"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Response rate; annual findings report</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BEFD2DF"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2027 baseline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A79A315"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Annual report</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7722FF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GEP Committee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2A65685"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2027–30</w:t>
            </w:r>
          </w:p>
        </w:tc>
      </w:tr>
      <w:tr w:rsidR="00E869E7" w:rsidRPr="00FF76F3" w14:paraId="45DB54D1"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BEECA4F"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1.2</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2D3DD90"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Adopt a care-sensitive principle for scheduling Faculty meetings and events.</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4E7C53C"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Approved principle; share of sampled meetings within agreed hours</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A868C86"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To be established</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6C9E91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≥90%</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FFED4C"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Dean’s Office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73F6390"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w:t>
            </w:r>
          </w:p>
        </w:tc>
      </w:tr>
      <w:tr w:rsidR="00E869E7" w:rsidRPr="00FF76F3" w14:paraId="2F5F990B"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A51B709"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1.3</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BE7975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Include a gender-equality module in new staff and student orientation.</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EA5612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Completion/participation rate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98D2E40"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To be established</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834045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≥80%</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E96AB0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Dean’s Office / Departments</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52C4BAB"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2027–30</w:t>
            </w:r>
          </w:p>
        </w:tc>
      </w:tr>
      <w:tr w:rsidR="00E869E7" w:rsidRPr="00FF76F3" w14:paraId="638BA3DD"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17EFE23"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2.1</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FE82E99"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Monitor the gender composition of leadership, boards and committees each year.</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950920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Annual representation table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2FEF1E1"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Heads: 1F/7M; Board: 6F/9M; Admin Board: 5F/2M</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9922EB0"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Annual publication</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815E9C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Dean’s Office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BB68150"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2027–30</w:t>
            </w:r>
          </w:p>
        </w:tc>
      </w:tr>
      <w:tr w:rsidR="00E869E7" w:rsidRPr="00FF76F3" w14:paraId="57BEFADF"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F1A5243"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2.2</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FD2D3A5"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Strive, where feasible, for balanced candidate pools for speakers, juries and representation assignments.</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60E2BCB"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Share of relevant processes documenting a balanced candidate pool</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8B2F632"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To be established</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49BA1C5"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Year-on-year improvement</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199F8F5"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Departments</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F0822E"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2027–30</w:t>
            </w:r>
          </w:p>
        </w:tc>
      </w:tr>
      <w:tr w:rsidR="00E869E7" w:rsidRPr="00FF76F3" w14:paraId="1C674ABA"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4AB26E2"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2.3</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4FF9F31"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 xml:space="preserve">Establish a leadership and mentoring </w:t>
            </w:r>
            <w:proofErr w:type="spellStart"/>
            <w:r w:rsidRPr="00FF76F3">
              <w:rPr>
                <w:rFonts w:ascii="Times New Roman" w:hAnsi="Times New Roman" w:cs="Times New Roman"/>
                <w:sz w:val="22"/>
              </w:rPr>
              <w:t>programme</w:t>
            </w:r>
            <w:proofErr w:type="spellEnd"/>
            <w:r w:rsidRPr="00FF76F3">
              <w:rPr>
                <w:rFonts w:ascii="Times New Roman" w:hAnsi="Times New Roman" w:cs="Times New Roman"/>
                <w:sz w:val="22"/>
              </w:rPr>
              <w:t xml:space="preserve"> to support leadership development.</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D8AF4A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Participants; satisfaction; progression follow-up</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6D8093F"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0</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8E7B5A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≥10 participants/year from 2028</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C3022E1"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Dean’s Office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DB6E475"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2028–30</w:t>
            </w:r>
          </w:p>
        </w:tc>
      </w:tr>
      <w:tr w:rsidR="00E869E7" w:rsidRPr="00FF76F3" w14:paraId="1B2A07B4"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1AA7C8A"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3.1</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4789219"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Review recruitment and evaluation texts for inclusive language and transparent criteria.</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089AC5C"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Share of relevant processes reviewed</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CA6391D"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To be established</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FE9D265"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100%</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83943C2"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HR / Departments</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7E945DE"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w:t>
            </w:r>
          </w:p>
        </w:tc>
      </w:tr>
      <w:tr w:rsidR="00E869E7" w:rsidRPr="00FF76F3" w14:paraId="309C04DB" w14:textId="77777777" w:rsidTr="00FC2ED0">
        <w:trPr>
          <w:jc w:val="center"/>
        </w:trPr>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67644C1"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color w:val="0B1D4D"/>
                <w:sz w:val="22"/>
              </w:rPr>
              <w:t>3.2</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2387B1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Provide short bias-awareness training for selection and evaluation committee members.</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BD6755F"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Share of relevant members completing training</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D61A5E2"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To be established</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625D05A"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≥90%</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3B6F347"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color w:val="273142"/>
                <w:sz w:val="22"/>
              </w:rPr>
              <w:t>HR / GEP Committee</w:t>
            </w:r>
          </w:p>
        </w:tc>
        <w:tc>
          <w:tcPr>
            <w:tcW w:w="143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C9F9175"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color w:val="273142"/>
                <w:sz w:val="22"/>
              </w:rPr>
              <w:t>2027–30</w:t>
            </w:r>
          </w:p>
        </w:tc>
      </w:tr>
    </w:tbl>
    <w:p w14:paraId="6C7306BE" w14:textId="77777777" w:rsidR="00E869E7" w:rsidRDefault="00E869E7" w:rsidP="00E869E7">
      <w:pPr>
        <w:spacing w:before="80" w:after="80"/>
        <w:jc w:val="both"/>
        <w:rPr>
          <w:rFonts w:ascii="Times New Roman" w:hAnsi="Times New Roman" w:cs="Times New Roman"/>
          <w:b/>
          <w:color w:val="0B1D4D"/>
          <w:sz w:val="24"/>
          <w:szCs w:val="24"/>
        </w:rPr>
      </w:pPr>
    </w:p>
    <w:p w14:paraId="13D6A847" w14:textId="77777777" w:rsidR="00E869E7" w:rsidRPr="00FF76F3" w:rsidRDefault="00E869E7" w:rsidP="00E869E7">
      <w:pPr>
        <w:spacing w:before="80" w:after="80"/>
        <w:jc w:val="both"/>
        <w:rPr>
          <w:rFonts w:ascii="Times New Roman" w:hAnsi="Times New Roman" w:cs="Times New Roman"/>
          <w:sz w:val="24"/>
          <w:szCs w:val="24"/>
        </w:rPr>
      </w:pPr>
      <w:r w:rsidRPr="00FF76F3">
        <w:rPr>
          <w:rFonts w:ascii="Times New Roman" w:hAnsi="Times New Roman" w:cs="Times New Roman"/>
          <w:b/>
          <w:color w:val="0B1D4D"/>
          <w:sz w:val="24"/>
          <w:szCs w:val="24"/>
        </w:rPr>
        <w:t>6.1 Implementation logic for Priorities 1–3</w:t>
      </w:r>
    </w:p>
    <w:p w14:paraId="2D026C02" w14:textId="2B41683C" w:rsidR="00E869E7" w:rsidRPr="00FF76F3"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Priorities 1–3 focus on organizational culture, leadership and institutional processes.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establish regular monitoring of work–life balance and belonging, apply care-sensitive scheduling principles, strengthen orientation, monitor leadership representation, support mentoring and review recruitment and evaluation practices. Where University-level systems are responsible for a process,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work through those systems rather than create parallel procedures.</w:t>
      </w:r>
    </w:p>
    <w:p w14:paraId="50F655C1" w14:textId="77777777" w:rsidR="00E869E7" w:rsidRPr="007F7F8B" w:rsidRDefault="00E869E7" w:rsidP="00E869E7">
      <w:pPr>
        <w:rPr>
          <w:rFonts w:ascii="Times New Roman" w:hAnsi="Times New Roman" w:cs="Times New Roman"/>
        </w:rPr>
      </w:pPr>
      <w:r w:rsidRPr="007F7F8B">
        <w:rPr>
          <w:rFonts w:ascii="Times New Roman" w:hAnsi="Times New Roman" w:cs="Times New Roman"/>
        </w:rPr>
        <w:br w:type="page"/>
      </w:r>
    </w:p>
    <w:p w14:paraId="15449C77"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lastRenderedPageBreak/>
        <w:t>6. Action Plan 2027–2030 — continued</w:t>
      </w:r>
    </w:p>
    <w:tbl>
      <w:tblPr>
        <w:tblW w:w="0" w:type="auto"/>
        <w:jc w:val="center"/>
        <w:tblLayout w:type="fixed"/>
        <w:tblLook w:val="04A0" w:firstRow="1" w:lastRow="0" w:firstColumn="1" w:lastColumn="0" w:noHBand="0" w:noVBand="1"/>
      </w:tblPr>
      <w:tblGrid>
        <w:gridCol w:w="1434"/>
        <w:gridCol w:w="2835"/>
        <w:gridCol w:w="1757"/>
        <w:gridCol w:w="1434"/>
        <w:gridCol w:w="1434"/>
        <w:gridCol w:w="1474"/>
        <w:gridCol w:w="1434"/>
      </w:tblGrid>
      <w:tr w:rsidR="00E869E7" w:rsidRPr="00FF76F3" w14:paraId="7F1BF82E" w14:textId="77777777" w:rsidTr="00FC2ED0">
        <w:trPr>
          <w:tblHeader/>
          <w:jc w:val="center"/>
        </w:trPr>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0433426C"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Code</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3D87DDC2"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Action</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205341FB"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Indicator</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3517003E"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Baseline</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E711DFE"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Target/output</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64988073"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Responsible</w:t>
            </w:r>
          </w:p>
        </w:tc>
        <w:tc>
          <w:tcPr>
            <w:tcW w:w="1434"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49849A30"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Period</w:t>
            </w:r>
          </w:p>
        </w:tc>
      </w:tr>
      <w:tr w:rsidR="00E869E7" w:rsidRPr="00FF76F3" w14:paraId="68EAAF0A"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F0CE742"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3.3</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D10B43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Monitor access to research funding, conference support and professional development by gender.</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4DE180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Annual opportunity-access report</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74C2539"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To be established</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F3CD86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Annual report</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C46689E"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Dean’s Office / ARGEDA-TTO</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4284BA5"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2027–30</w:t>
            </w:r>
          </w:p>
        </w:tc>
      </w:tr>
      <w:tr w:rsidR="00E869E7" w:rsidRPr="00FF76F3" w14:paraId="2601E6A5"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E49F205"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4.1</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5D6660F"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Screen relevant course information packages for the gender dimension.</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D1628C9"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Share of relevant courses/</w:t>
            </w:r>
            <w:proofErr w:type="spellStart"/>
            <w:r w:rsidRPr="00FF76F3">
              <w:rPr>
                <w:rFonts w:ascii="Times New Roman" w:hAnsi="Times New Roman" w:cs="Times New Roman"/>
                <w:sz w:val="22"/>
              </w:rPr>
              <w:t>programmes</w:t>
            </w:r>
            <w:proofErr w:type="spellEnd"/>
            <w:r w:rsidRPr="00FF76F3">
              <w:rPr>
                <w:rFonts w:ascii="Times New Roman" w:hAnsi="Times New Roman" w:cs="Times New Roman"/>
                <w:sz w:val="22"/>
              </w:rPr>
              <w:t xml:space="preserve"> screened</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62790F7"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To be established</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6F14DCB"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100% screened by 2028</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242141A"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Departments / Education Committee</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C09FB7D"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2027–28</w:t>
            </w:r>
          </w:p>
        </w:tc>
      </w:tr>
      <w:tr w:rsidR="00E869E7" w:rsidRPr="00FF76F3" w14:paraId="7FF2F99C"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1FA01B6"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4.2</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F207EAE"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Provide annual training for researchers on the gender dimension in Horizon Europe proposals.</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CA8B1B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Training events; participants; documented integration examples</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EB60DB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To be established</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939490C"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≥1 training/year</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5B43F4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ARGEDA-TTO / Faculty</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EEC728A"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2027–30</w:t>
            </w:r>
          </w:p>
        </w:tc>
      </w:tr>
      <w:tr w:rsidR="00E869E7" w:rsidRPr="00FF76F3" w14:paraId="154AC093"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75EE204"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4.3</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E116F2B"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Prepare guidance on diversity in cases, reading lists and invited speakers.</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DE2BBE7"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Guide issued; annual implementation examples</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E4F93B6"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0</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DE2A4A1"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Guide + annual example</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AD2838B"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Education Committee</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90D10CF"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2028</w:t>
            </w:r>
          </w:p>
        </w:tc>
      </w:tr>
      <w:tr w:rsidR="00E869E7" w:rsidRPr="00FF76F3" w14:paraId="61C40333"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FCA860A"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5.1</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785282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Make existing institutional reporting, referral and support channels clearly visible on a Faculty-accessible page.</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61C651"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Page published; usage/access evidence where available</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401F81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To be established</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A96EB4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Published and maintained</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CC34A4"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Dean’s Office / relevant units</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70C6678"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2027</w:t>
            </w:r>
          </w:p>
        </w:tc>
      </w:tr>
      <w:tr w:rsidR="00E869E7" w:rsidRPr="00FF76F3" w14:paraId="0E960F84"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7BBB42A"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5.2</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6FB73AB"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Provide annual awareness and training on harassment, gender-based violence, retaliation and safe intervention.</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7913ABD"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Training delivered; participation</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98759C6"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To be established</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88BD71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≥1 training/year</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7C7AF9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Relevant University units / Faculty</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2A77DE9"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2027–30</w:t>
            </w:r>
          </w:p>
        </w:tc>
      </w:tr>
      <w:tr w:rsidR="00E869E7" w:rsidRPr="00FF76F3" w14:paraId="13D5D027" w14:textId="77777777" w:rsidTr="00FC2ED0">
        <w:trPr>
          <w:jc w:val="center"/>
        </w:trPr>
        <w:tc>
          <w:tcPr>
            <w:tcW w:w="56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DDDF373"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b/>
                <w:sz w:val="22"/>
              </w:rPr>
              <w:t>5.3</w:t>
            </w:r>
          </w:p>
        </w:tc>
        <w:tc>
          <w:tcPr>
            <w:tcW w:w="283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6D15AF8"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Monitor awareness of procedures and perceptions of trust while protecting confidentiality.</w:t>
            </w:r>
          </w:p>
        </w:tc>
        <w:tc>
          <w:tcPr>
            <w:tcW w:w="175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89BADEB"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Anonymous survey indicator; improvement decisions</w:t>
            </w:r>
          </w:p>
        </w:tc>
        <w:tc>
          <w:tcPr>
            <w:tcW w:w="14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76BD156"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2027 baseline</w:t>
            </w:r>
          </w:p>
        </w:tc>
        <w:tc>
          <w:tcPr>
            <w:tcW w:w="1191"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E4A9639"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Annual review and action where needed</w:t>
            </w:r>
          </w:p>
        </w:tc>
        <w:tc>
          <w:tcPr>
            <w:tcW w:w="147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E71FB93" w14:textId="77777777" w:rsidR="00E869E7" w:rsidRPr="00FF76F3" w:rsidRDefault="00E869E7" w:rsidP="00FC2ED0">
            <w:pPr>
              <w:spacing w:after="0" w:line="240" w:lineRule="auto"/>
              <w:rPr>
                <w:rFonts w:ascii="Times New Roman" w:hAnsi="Times New Roman" w:cs="Times New Roman"/>
                <w:sz w:val="22"/>
              </w:rPr>
            </w:pPr>
            <w:r w:rsidRPr="00FF76F3">
              <w:rPr>
                <w:rFonts w:ascii="Times New Roman" w:hAnsi="Times New Roman" w:cs="Times New Roman"/>
                <w:sz w:val="22"/>
              </w:rPr>
              <w:t>GEP Committee</w:t>
            </w:r>
          </w:p>
        </w:tc>
        <w:tc>
          <w:tcPr>
            <w:tcW w:w="794"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5CCFB6A" w14:textId="77777777" w:rsidR="00E869E7" w:rsidRPr="00FF76F3" w:rsidRDefault="00E869E7" w:rsidP="00FC2ED0">
            <w:pPr>
              <w:spacing w:after="0" w:line="240" w:lineRule="auto"/>
              <w:jc w:val="center"/>
              <w:rPr>
                <w:rFonts w:ascii="Times New Roman" w:hAnsi="Times New Roman" w:cs="Times New Roman"/>
                <w:sz w:val="22"/>
              </w:rPr>
            </w:pPr>
            <w:r w:rsidRPr="00FF76F3">
              <w:rPr>
                <w:rFonts w:ascii="Times New Roman" w:hAnsi="Times New Roman" w:cs="Times New Roman"/>
                <w:sz w:val="22"/>
              </w:rPr>
              <w:t>2027–30</w:t>
            </w:r>
          </w:p>
        </w:tc>
      </w:tr>
    </w:tbl>
    <w:p w14:paraId="0C9F15F4" w14:textId="77777777" w:rsidR="00E869E7" w:rsidRPr="007F7F8B" w:rsidRDefault="00E869E7" w:rsidP="00E869E7">
      <w:pPr>
        <w:spacing w:before="80" w:after="80"/>
        <w:rPr>
          <w:rFonts w:ascii="Times New Roman" w:hAnsi="Times New Roman" w:cs="Times New Roman"/>
        </w:rPr>
      </w:pPr>
      <w:r w:rsidRPr="007F7F8B">
        <w:rPr>
          <w:rFonts w:ascii="Times New Roman" w:hAnsi="Times New Roman" w:cs="Times New Roman"/>
          <w:b/>
          <w:color w:val="0B1D4D"/>
          <w:sz w:val="24"/>
        </w:rPr>
        <w:t>6.2 Implementation roadmap</w:t>
      </w:r>
    </w:p>
    <w:tbl>
      <w:tblPr>
        <w:tblW w:w="0" w:type="auto"/>
        <w:jc w:val="center"/>
        <w:tblLayout w:type="fixed"/>
        <w:tblLook w:val="04A0" w:firstRow="1" w:lastRow="0" w:firstColumn="1" w:lastColumn="0" w:noHBand="0" w:noVBand="1"/>
      </w:tblPr>
      <w:tblGrid>
        <w:gridCol w:w="5018"/>
        <w:gridCol w:w="5018"/>
      </w:tblGrid>
      <w:tr w:rsidR="00E869E7" w:rsidRPr="007F7F8B" w14:paraId="6D38DE69" w14:textId="77777777" w:rsidTr="00FC2ED0">
        <w:trPr>
          <w:jc w:val="center"/>
        </w:trPr>
        <w:tc>
          <w:tcPr>
            <w:tcW w:w="5018"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4E19E471"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b/>
                <w:color w:val="0B1D4D"/>
                <w:sz w:val="22"/>
              </w:rPr>
              <w:t xml:space="preserve">2027 — </w:t>
            </w:r>
            <w:r>
              <w:rPr>
                <w:rFonts w:ascii="Times New Roman" w:hAnsi="Times New Roman" w:cs="Times New Roman"/>
                <w:b/>
                <w:color w:val="0B1D4D"/>
                <w:sz w:val="22"/>
              </w:rPr>
              <w:t>E</w:t>
            </w:r>
            <w:r w:rsidRPr="00FF76F3">
              <w:rPr>
                <w:rFonts w:ascii="Times New Roman" w:hAnsi="Times New Roman" w:cs="Times New Roman"/>
                <w:b/>
                <w:color w:val="0B1D4D"/>
                <w:sz w:val="22"/>
              </w:rPr>
              <w:t>stablish and operationalize</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25DA2BC"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color w:val="273142"/>
                <w:sz w:val="22"/>
              </w:rPr>
              <w:t>Confirm governance; complete missing baseline categories where accessible; launch survey; adopting meeting-time principle; begin orientation, recruitment-text review, bias-awareness training, governance monitoring and visibility of reporting/referral channels.</w:t>
            </w:r>
          </w:p>
        </w:tc>
      </w:tr>
      <w:tr w:rsidR="00E869E7" w:rsidRPr="007F7F8B" w14:paraId="7C659F7D" w14:textId="77777777" w:rsidTr="00FC2ED0">
        <w:trPr>
          <w:jc w:val="center"/>
        </w:trPr>
        <w:tc>
          <w:tcPr>
            <w:tcW w:w="5018"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39B9535D"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b/>
                <w:color w:val="0B1D4D"/>
                <w:sz w:val="22"/>
              </w:rPr>
              <w:t xml:space="preserve">2028 — </w:t>
            </w:r>
            <w:r>
              <w:rPr>
                <w:rFonts w:ascii="Times New Roman" w:hAnsi="Times New Roman" w:cs="Times New Roman"/>
                <w:b/>
                <w:color w:val="0B1D4D"/>
                <w:sz w:val="22"/>
              </w:rPr>
              <w:t>D</w:t>
            </w:r>
            <w:r w:rsidRPr="00FF76F3">
              <w:rPr>
                <w:rFonts w:ascii="Times New Roman" w:hAnsi="Times New Roman" w:cs="Times New Roman"/>
                <w:b/>
                <w:color w:val="0B1D4D"/>
                <w:sz w:val="22"/>
              </w:rPr>
              <w:t>eepen integration</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5BFDBF2"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color w:val="273142"/>
                <w:sz w:val="22"/>
              </w:rPr>
              <w:t>Conduct the formal mid-term review; complete the planned course/program screening; issue the diversity guide; begin the leadership and mentoring program; revise targets if the evidence shows that actions are too weak, too ambitious or no longer relevant.</w:t>
            </w:r>
          </w:p>
        </w:tc>
      </w:tr>
      <w:tr w:rsidR="00E869E7" w:rsidRPr="007F7F8B" w14:paraId="5A72CF59" w14:textId="77777777" w:rsidTr="00FC2ED0">
        <w:trPr>
          <w:jc w:val="center"/>
        </w:trPr>
        <w:tc>
          <w:tcPr>
            <w:tcW w:w="5018"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61A470AD"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b/>
                <w:color w:val="0B1D4D"/>
                <w:sz w:val="22"/>
              </w:rPr>
              <w:t xml:space="preserve">2029 — </w:t>
            </w:r>
            <w:r>
              <w:rPr>
                <w:rFonts w:ascii="Times New Roman" w:hAnsi="Times New Roman" w:cs="Times New Roman"/>
                <w:b/>
                <w:color w:val="0B1D4D"/>
                <w:sz w:val="22"/>
              </w:rPr>
              <w:t>C</w:t>
            </w:r>
            <w:r w:rsidRPr="00FF76F3">
              <w:rPr>
                <w:rFonts w:ascii="Times New Roman" w:hAnsi="Times New Roman" w:cs="Times New Roman"/>
                <w:b/>
                <w:color w:val="0B1D4D"/>
                <w:sz w:val="22"/>
              </w:rPr>
              <w:t>onsolidate practice</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C8376D5"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color w:val="273142"/>
                <w:sz w:val="22"/>
              </w:rPr>
              <w:t>Continue annual monitoring and training; use accumulated data to assess trends rather than single-year fluctuations; embed effective actions in routine Faculty processes and address persistent gaps through targeted follow-up.</w:t>
            </w:r>
          </w:p>
        </w:tc>
      </w:tr>
      <w:tr w:rsidR="00E869E7" w:rsidRPr="007F7F8B" w14:paraId="67AAB31F" w14:textId="77777777" w:rsidTr="00FC2ED0">
        <w:trPr>
          <w:jc w:val="center"/>
        </w:trPr>
        <w:tc>
          <w:tcPr>
            <w:tcW w:w="5018" w:type="dxa"/>
            <w:tcBorders>
              <w:top w:val="single" w:sz="4" w:space="0" w:color="D7E2EC"/>
              <w:left w:val="single" w:sz="4" w:space="0" w:color="D7E2EC"/>
              <w:bottom w:val="single" w:sz="4" w:space="0" w:color="D7E2EC"/>
              <w:right w:val="single" w:sz="4" w:space="0" w:color="D7E2EC"/>
            </w:tcBorders>
            <w:shd w:val="clear" w:color="auto" w:fill="EAF3FA"/>
            <w:tcMar>
              <w:top w:w="55" w:type="dxa"/>
              <w:left w:w="70" w:type="dxa"/>
              <w:bottom w:w="55" w:type="dxa"/>
              <w:right w:w="70" w:type="dxa"/>
            </w:tcMar>
            <w:vAlign w:val="center"/>
          </w:tcPr>
          <w:p w14:paraId="018980D9"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b/>
                <w:color w:val="0B1D4D"/>
                <w:sz w:val="22"/>
              </w:rPr>
              <w:lastRenderedPageBreak/>
              <w:t xml:space="preserve">2030 — </w:t>
            </w:r>
            <w:r>
              <w:rPr>
                <w:rFonts w:ascii="Times New Roman" w:hAnsi="Times New Roman" w:cs="Times New Roman"/>
                <w:b/>
                <w:color w:val="0B1D4D"/>
                <w:sz w:val="22"/>
              </w:rPr>
              <w:t>E</w:t>
            </w:r>
            <w:r w:rsidRPr="00FF76F3">
              <w:rPr>
                <w:rFonts w:ascii="Times New Roman" w:hAnsi="Times New Roman" w:cs="Times New Roman"/>
                <w:b/>
                <w:color w:val="0B1D4D"/>
                <w:sz w:val="22"/>
              </w:rPr>
              <w:t>valuate and renew</w:t>
            </w:r>
          </w:p>
        </w:tc>
        <w:tc>
          <w:tcPr>
            <w:tcW w:w="5018"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320AD72" w14:textId="77777777" w:rsidR="00E869E7" w:rsidRPr="00FF76F3" w:rsidRDefault="00E869E7" w:rsidP="00FC2ED0">
            <w:pPr>
              <w:spacing w:after="0"/>
              <w:jc w:val="both"/>
              <w:rPr>
                <w:rFonts w:ascii="Times New Roman" w:hAnsi="Times New Roman" w:cs="Times New Roman"/>
                <w:sz w:val="22"/>
              </w:rPr>
            </w:pPr>
            <w:r w:rsidRPr="00FF76F3">
              <w:rPr>
                <w:rFonts w:ascii="Times New Roman" w:hAnsi="Times New Roman" w:cs="Times New Roman"/>
                <w:color w:val="273142"/>
                <w:sz w:val="22"/>
              </w:rPr>
              <w:t>Assess implementation, evidence quality and change against the 2026/2027 baseline; document lessons learned; prepare recommendations and the next planning cycle.</w:t>
            </w:r>
          </w:p>
        </w:tc>
      </w:tr>
    </w:tbl>
    <w:p w14:paraId="1AA6A742" w14:textId="77777777" w:rsidR="00E869E7" w:rsidRDefault="00E869E7" w:rsidP="00E869E7">
      <w:pPr>
        <w:spacing w:after="80" w:line="257" w:lineRule="auto"/>
        <w:jc w:val="both"/>
        <w:rPr>
          <w:rFonts w:ascii="Times New Roman" w:hAnsi="Times New Roman" w:cs="Times New Roman"/>
          <w:sz w:val="24"/>
          <w:szCs w:val="24"/>
        </w:rPr>
      </w:pPr>
    </w:p>
    <w:p w14:paraId="066B5BDB" w14:textId="7A9982C7" w:rsidR="00E869E7" w:rsidRPr="00FF76F3"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Implementation will take place in stages. In 2027,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confirm governance arrangements, complete available baseline categories and begin the core monitoring and training actions. In 2028, the Plan will place greater emphasis on curriculum screening, the diversity guide, leadership and mentoring, and the mid-term review. In 2029, successful practices will be consolidated. In 2030, 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complete the final evaluation and prepare recommendations for the next planning period.</w:t>
      </w:r>
    </w:p>
    <w:p w14:paraId="5FAFA1F8" w14:textId="77777777" w:rsidR="00E869E7" w:rsidRDefault="00E869E7" w:rsidP="00E869E7">
      <w:pPr>
        <w:pBdr>
          <w:bottom w:val="single" w:sz="8" w:space="2" w:color="5B8DB8"/>
        </w:pBdr>
        <w:spacing w:before="120" w:after="80"/>
        <w:rPr>
          <w:rFonts w:ascii="Times New Roman" w:hAnsi="Times New Roman" w:cs="Times New Roman"/>
          <w:b/>
          <w:color w:val="0B1D4D"/>
          <w:sz w:val="32"/>
        </w:rPr>
      </w:pPr>
    </w:p>
    <w:p w14:paraId="6FE596E2" w14:textId="77777777" w:rsidR="00E869E7" w:rsidRPr="007F7F8B" w:rsidRDefault="00E869E7" w:rsidP="00E869E7">
      <w:pPr>
        <w:pBdr>
          <w:bottom w:val="single" w:sz="8" w:space="2" w:color="5B8DB8"/>
        </w:pBdr>
        <w:spacing w:before="120" w:after="80"/>
        <w:rPr>
          <w:rFonts w:ascii="Times New Roman" w:hAnsi="Times New Roman" w:cs="Times New Roman"/>
        </w:rPr>
      </w:pPr>
      <w:r w:rsidRPr="007F7F8B">
        <w:rPr>
          <w:rFonts w:ascii="Times New Roman" w:hAnsi="Times New Roman" w:cs="Times New Roman"/>
          <w:b/>
          <w:color w:val="0B1D4D"/>
          <w:sz w:val="32"/>
        </w:rPr>
        <w:t>7. Monitoring, Evaluation and Annual Indicators</w:t>
      </w:r>
    </w:p>
    <w:p w14:paraId="55DA5C9A" w14:textId="670E1BE7" w:rsidR="00E869E7"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D37FCA"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monitor implementation through regular evidence collection and review. The Faculty GEP Committee will maintain a six-monthly record of activities, indicators, evidence and outstanding issues. The Dean’s Office will review progress annually. A mid-term review will be conducted at the end of 2028 and a final evaluation at the end of 2030. The results will be used to revise actions and targets where necessary and to inform the next planning cycle.</w:t>
      </w:r>
    </w:p>
    <w:p w14:paraId="351F6D91" w14:textId="77777777" w:rsidR="00E869E7" w:rsidRPr="00FF76F3" w:rsidRDefault="00E869E7" w:rsidP="00E869E7">
      <w:pPr>
        <w:spacing w:after="80" w:line="257" w:lineRule="auto"/>
        <w:jc w:val="both"/>
        <w:rPr>
          <w:rFonts w:ascii="Times New Roman" w:hAnsi="Times New Roman" w:cs="Times New Roman"/>
          <w:sz w:val="24"/>
          <w:szCs w:val="24"/>
        </w:rPr>
      </w:pPr>
    </w:p>
    <w:tbl>
      <w:tblPr>
        <w:tblW w:w="12359" w:type="dxa"/>
        <w:jc w:val="center"/>
        <w:tblLayout w:type="fixed"/>
        <w:tblLook w:val="04A0" w:firstRow="1" w:lastRow="0" w:firstColumn="1" w:lastColumn="0" w:noHBand="0" w:noVBand="1"/>
      </w:tblPr>
      <w:tblGrid>
        <w:gridCol w:w="3997"/>
        <w:gridCol w:w="5017"/>
        <w:gridCol w:w="3345"/>
      </w:tblGrid>
      <w:tr w:rsidR="00E869E7" w:rsidRPr="00FF76F3" w14:paraId="678A9435" w14:textId="77777777" w:rsidTr="00FC2ED0">
        <w:trPr>
          <w:tblHeader/>
          <w:jc w:val="center"/>
        </w:trPr>
        <w:tc>
          <w:tcPr>
            <w:tcW w:w="3997"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11BB238D"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Indicator area</w:t>
            </w:r>
          </w:p>
        </w:tc>
        <w:tc>
          <w:tcPr>
            <w:tcW w:w="5017"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534FA3D3"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Evidence to be monitored</w:t>
            </w:r>
          </w:p>
        </w:tc>
        <w:tc>
          <w:tcPr>
            <w:tcW w:w="3345" w:type="dxa"/>
            <w:tcBorders>
              <w:top w:val="single" w:sz="4" w:space="0" w:color="D7E2EC"/>
              <w:left w:val="single" w:sz="4" w:space="0" w:color="D7E2EC"/>
              <w:bottom w:val="single" w:sz="4" w:space="0" w:color="D7E2EC"/>
              <w:right w:val="single" w:sz="4" w:space="0" w:color="D7E2EC"/>
            </w:tcBorders>
            <w:shd w:val="clear" w:color="auto" w:fill="0B1D4D"/>
            <w:tcMar>
              <w:top w:w="55" w:type="dxa"/>
              <w:left w:w="70" w:type="dxa"/>
              <w:bottom w:w="55" w:type="dxa"/>
              <w:right w:w="70" w:type="dxa"/>
            </w:tcMar>
            <w:vAlign w:val="center"/>
          </w:tcPr>
          <w:p w14:paraId="314CBA0F"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Frequency</w:t>
            </w:r>
          </w:p>
        </w:tc>
      </w:tr>
      <w:tr w:rsidR="00E869E7" w:rsidRPr="00FF76F3" w14:paraId="7831CE75"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A64AF63"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Students</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3A945A7"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Female/male counts and shares by department/</w:t>
            </w:r>
            <w:proofErr w:type="spellStart"/>
            <w:r w:rsidRPr="00FF76F3">
              <w:rPr>
                <w:rFonts w:ascii="Times New Roman" w:hAnsi="Times New Roman" w:cs="Times New Roman"/>
                <w:sz w:val="22"/>
              </w:rPr>
              <w:t>programme</w:t>
            </w:r>
            <w:proofErr w:type="spellEnd"/>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FE1E597"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1C494804"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9CA6155"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Academic staff</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404B30C"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Female/male counts and shares by department/</w:t>
            </w:r>
            <w:proofErr w:type="spellStart"/>
            <w:r w:rsidRPr="00FF76F3">
              <w:rPr>
                <w:rFonts w:ascii="Times New Roman" w:hAnsi="Times New Roman" w:cs="Times New Roman"/>
                <w:sz w:val="22"/>
              </w:rPr>
              <w:t>programme</w:t>
            </w:r>
            <w:proofErr w:type="spellEnd"/>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355C3E7"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4B91F205"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25C85CA"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Administrative staff</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72856308"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Sex-disaggregated count when verified data are available</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2352325"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2D14DDCD"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8FE90C5"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Leadership/governance</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904B614"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Heads of Department and major boards/committees</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4C9CEF1"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370B7726"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48DCAAE"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Recruitment/progression</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EA53A72"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Applicant, shortlist, appointment and progression indicators where data are available</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3BFFAF6"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Each cycle / annual</w:t>
            </w:r>
          </w:p>
        </w:tc>
      </w:tr>
      <w:tr w:rsidR="00E869E7" w:rsidRPr="00FF76F3" w14:paraId="30A8E60A"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DE6C718"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Opportunity access</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970B8D7"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Research funding, conference and development support by gender</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46FD0C4"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7709717A"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8DEA9E"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Training</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116E9933"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Number of activities, participants and completion/feedback</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AF7FF49"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6E5B49FD"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40534CFB"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Teaching/research integration</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6BD162B"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Screening and documented integration examples</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F08596C"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7BD11E19"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3F32733C"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Work–life / belonging</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0D7B963F"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Survey indicators</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593FB35F"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r w:rsidR="00E869E7" w:rsidRPr="00FF76F3" w14:paraId="6364E4DD" w14:textId="77777777" w:rsidTr="00FC2ED0">
        <w:trPr>
          <w:jc w:val="center"/>
        </w:trPr>
        <w:tc>
          <w:tcPr>
            <w:tcW w:w="399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07C9613"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b/>
                <w:sz w:val="22"/>
              </w:rPr>
              <w:t>Safety / awareness</w:t>
            </w:r>
          </w:p>
        </w:tc>
        <w:tc>
          <w:tcPr>
            <w:tcW w:w="5017"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66962D71"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Awareness of reporting/referral routes and trust indicators</w:t>
            </w:r>
          </w:p>
        </w:tc>
        <w:tc>
          <w:tcPr>
            <w:tcW w:w="3345" w:type="dxa"/>
            <w:tcBorders>
              <w:top w:val="single" w:sz="4" w:space="0" w:color="D7E2EC"/>
              <w:left w:val="single" w:sz="4" w:space="0" w:color="D7E2EC"/>
              <w:bottom w:val="single" w:sz="4" w:space="0" w:color="D7E2EC"/>
              <w:right w:val="single" w:sz="4" w:space="0" w:color="D7E2EC"/>
            </w:tcBorders>
            <w:tcMar>
              <w:top w:w="55" w:type="dxa"/>
              <w:left w:w="70" w:type="dxa"/>
              <w:bottom w:w="55" w:type="dxa"/>
              <w:right w:w="70" w:type="dxa"/>
            </w:tcMar>
            <w:vAlign w:val="center"/>
          </w:tcPr>
          <w:p w14:paraId="2A5A4063" w14:textId="77777777" w:rsidR="00E869E7" w:rsidRPr="00FF76F3" w:rsidRDefault="00E869E7" w:rsidP="00FC2ED0">
            <w:pPr>
              <w:spacing w:after="0"/>
              <w:jc w:val="center"/>
              <w:rPr>
                <w:rFonts w:ascii="Times New Roman" w:hAnsi="Times New Roman" w:cs="Times New Roman"/>
                <w:sz w:val="22"/>
              </w:rPr>
            </w:pPr>
            <w:r w:rsidRPr="00FF76F3">
              <w:rPr>
                <w:rFonts w:ascii="Times New Roman" w:hAnsi="Times New Roman" w:cs="Times New Roman"/>
                <w:sz w:val="22"/>
              </w:rPr>
              <w:t>Annual</w:t>
            </w:r>
          </w:p>
        </w:tc>
      </w:tr>
    </w:tbl>
    <w:p w14:paraId="30ACD664" w14:textId="77777777" w:rsidR="00E869E7" w:rsidRDefault="00E869E7" w:rsidP="00E869E7">
      <w:pPr>
        <w:spacing w:before="80" w:after="80"/>
        <w:rPr>
          <w:rFonts w:ascii="Times New Roman" w:hAnsi="Times New Roman" w:cs="Times New Roman"/>
          <w:b/>
          <w:color w:val="0B1D4D"/>
          <w:sz w:val="24"/>
        </w:rPr>
      </w:pPr>
    </w:p>
    <w:p w14:paraId="71A98794" w14:textId="77777777" w:rsidR="00E869E7" w:rsidRPr="007F7F8B" w:rsidRDefault="00E869E7" w:rsidP="00E869E7">
      <w:pPr>
        <w:spacing w:before="80" w:after="80"/>
        <w:rPr>
          <w:rFonts w:ascii="Times New Roman" w:hAnsi="Times New Roman" w:cs="Times New Roman"/>
        </w:rPr>
      </w:pPr>
      <w:r>
        <w:rPr>
          <w:rFonts w:ascii="Times New Roman" w:hAnsi="Times New Roman" w:cs="Times New Roman"/>
          <w:b/>
          <w:color w:val="0B1D4D"/>
          <w:sz w:val="24"/>
        </w:rPr>
        <w:t xml:space="preserve">7.1 </w:t>
      </w:r>
      <w:r w:rsidRPr="007F7F8B">
        <w:rPr>
          <w:rFonts w:ascii="Times New Roman" w:hAnsi="Times New Roman" w:cs="Times New Roman"/>
          <w:b/>
          <w:color w:val="0B1D4D"/>
          <w:sz w:val="24"/>
        </w:rPr>
        <w:t>Communication, Participation and Review</w:t>
      </w:r>
    </w:p>
    <w:p w14:paraId="0FC31D06" w14:textId="5A8769D4" w:rsidR="00E869E7" w:rsidRPr="00FF76F3" w:rsidRDefault="00E869E7" w:rsidP="00E869E7">
      <w:pPr>
        <w:spacing w:after="80" w:line="257" w:lineRule="auto"/>
        <w:jc w:val="both"/>
        <w:rPr>
          <w:rFonts w:ascii="Times New Roman" w:hAnsi="Times New Roman" w:cs="Times New Roman"/>
          <w:sz w:val="24"/>
          <w:szCs w:val="24"/>
        </w:rPr>
      </w:pPr>
      <w:r w:rsidRPr="00FF76F3">
        <w:rPr>
          <w:rFonts w:ascii="Times New Roman" w:hAnsi="Times New Roman" w:cs="Times New Roman"/>
          <w:sz w:val="24"/>
          <w:szCs w:val="24"/>
        </w:rPr>
        <w:t xml:space="preserve">The </w:t>
      </w:r>
      <w:r w:rsidR="00E02FB8"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communicate the GEP to academic staff, administrative staff and students after institutional approval. Relevant stakeholders will be invited to provide feedback on implementation. The </w:t>
      </w:r>
      <w:r w:rsidR="00E02FB8" w:rsidRPr="00FF76F3">
        <w:rPr>
          <w:rFonts w:ascii="Times New Roman" w:hAnsi="Times New Roman" w:cs="Times New Roman"/>
          <w:sz w:val="24"/>
          <w:szCs w:val="24"/>
        </w:rPr>
        <w:t>faculty</w:t>
      </w:r>
      <w:r w:rsidRPr="00FF76F3">
        <w:rPr>
          <w:rFonts w:ascii="Times New Roman" w:hAnsi="Times New Roman" w:cs="Times New Roman"/>
          <w:sz w:val="24"/>
          <w:szCs w:val="24"/>
        </w:rPr>
        <w:t xml:space="preserve"> will maintain accessible information on the Plan, progress and relevant University procedures, </w:t>
      </w:r>
      <w:r w:rsidRPr="00FF76F3">
        <w:rPr>
          <w:rFonts w:ascii="Times New Roman" w:hAnsi="Times New Roman" w:cs="Times New Roman"/>
          <w:sz w:val="24"/>
          <w:szCs w:val="24"/>
        </w:rPr>
        <w:lastRenderedPageBreak/>
        <w:t>while protecting confidentiality and personal data. The Plan will be reviewed annually and updated where institutional needs, evidence or applicable requirements change.</w:t>
      </w:r>
    </w:p>
    <w:p w14:paraId="4B3D2427" w14:textId="77777777" w:rsidR="00E869E7" w:rsidRPr="007F7F8B" w:rsidRDefault="00E869E7" w:rsidP="00E869E7">
      <w:pPr>
        <w:pBdr>
          <w:bottom w:val="single" w:sz="8" w:space="2" w:color="5B8DB8"/>
        </w:pBdr>
        <w:spacing w:before="120" w:after="80"/>
        <w:rPr>
          <w:rFonts w:ascii="Times New Roman" w:hAnsi="Times New Roman" w:cs="Times New Roman"/>
        </w:rPr>
      </w:pPr>
      <w:r>
        <w:rPr>
          <w:rFonts w:ascii="Times New Roman" w:hAnsi="Times New Roman" w:cs="Times New Roman"/>
          <w:b/>
          <w:color w:val="0B1D4D"/>
          <w:sz w:val="32"/>
        </w:rPr>
        <w:t>8</w:t>
      </w:r>
      <w:r w:rsidRPr="007F7F8B">
        <w:rPr>
          <w:rFonts w:ascii="Times New Roman" w:hAnsi="Times New Roman" w:cs="Times New Roman"/>
          <w:b/>
          <w:color w:val="0B1D4D"/>
          <w:sz w:val="32"/>
        </w:rPr>
        <w:t>. Approval and Entry into Force</w:t>
      </w:r>
    </w:p>
    <w:p w14:paraId="03A0D61F" w14:textId="67A46D6C" w:rsidR="00E869E7" w:rsidRPr="00011047" w:rsidRDefault="00E869E7" w:rsidP="00E869E7">
      <w:pPr>
        <w:spacing w:after="80" w:line="257" w:lineRule="auto"/>
        <w:jc w:val="both"/>
        <w:rPr>
          <w:rFonts w:ascii="Times New Roman" w:hAnsi="Times New Roman" w:cs="Times New Roman"/>
          <w:sz w:val="24"/>
          <w:szCs w:val="24"/>
        </w:rPr>
      </w:pPr>
      <w:r w:rsidRPr="00011047">
        <w:rPr>
          <w:rFonts w:ascii="Times New Roman" w:hAnsi="Times New Roman" w:cs="Times New Roman"/>
          <w:sz w:val="24"/>
          <w:szCs w:val="24"/>
        </w:rPr>
        <w:t xml:space="preserve">This Plan will enter into force following completion of the required institutional approval process. Before publication, the </w:t>
      </w:r>
      <w:r w:rsidR="00E02FB8" w:rsidRPr="00011047">
        <w:rPr>
          <w:rFonts w:ascii="Times New Roman" w:hAnsi="Times New Roman" w:cs="Times New Roman"/>
          <w:sz w:val="24"/>
          <w:szCs w:val="24"/>
        </w:rPr>
        <w:t>faculty</w:t>
      </w:r>
      <w:r w:rsidRPr="00011047">
        <w:rPr>
          <w:rFonts w:ascii="Times New Roman" w:hAnsi="Times New Roman" w:cs="Times New Roman"/>
          <w:sz w:val="24"/>
          <w:szCs w:val="24"/>
        </w:rPr>
        <w:t xml:space="preserve"> will verify the baseline figures, confirm the responsibilities of the units named in the action plan, identify the resources and training schedule for implementation, and check consistency with relevant Atılım University policies and any University-level GEP or equivalent strategy. Following approval, the signed Plan will be made publicly available and communicated to the </w:t>
      </w:r>
      <w:r w:rsidR="00E02FB8" w:rsidRPr="00011047">
        <w:rPr>
          <w:rFonts w:ascii="Times New Roman" w:hAnsi="Times New Roman" w:cs="Times New Roman"/>
          <w:sz w:val="24"/>
          <w:szCs w:val="24"/>
        </w:rPr>
        <w:t>faculty</w:t>
      </w:r>
      <w:r w:rsidRPr="00011047">
        <w:rPr>
          <w:rFonts w:ascii="Times New Roman" w:hAnsi="Times New Roman" w:cs="Times New Roman"/>
          <w:sz w:val="24"/>
          <w:szCs w:val="24"/>
        </w:rPr>
        <w:t xml:space="preserve"> community.</w:t>
      </w:r>
    </w:p>
    <w:p w14:paraId="4C431098" w14:textId="77777777" w:rsidR="00E869E7" w:rsidRPr="00011047" w:rsidRDefault="00E869E7" w:rsidP="00E869E7">
      <w:pPr>
        <w:spacing w:before="80" w:after="80"/>
        <w:jc w:val="both"/>
        <w:rPr>
          <w:rFonts w:ascii="Times New Roman" w:hAnsi="Times New Roman" w:cs="Times New Roman"/>
          <w:sz w:val="24"/>
          <w:szCs w:val="24"/>
        </w:rPr>
      </w:pPr>
      <w:r w:rsidRPr="00011047">
        <w:rPr>
          <w:rFonts w:ascii="Times New Roman" w:hAnsi="Times New Roman" w:cs="Times New Roman"/>
          <w:b/>
          <w:color w:val="0B1D4D"/>
          <w:sz w:val="24"/>
          <w:szCs w:val="24"/>
        </w:rPr>
        <w:t>8.1 Approval checklist</w:t>
      </w:r>
    </w:p>
    <w:p w14:paraId="43E06CF0"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Baseline student, academic-staff, leadership and governance figures verified.</w:t>
      </w:r>
    </w:p>
    <w:p w14:paraId="13C0053D"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Administrative-staff baseline and any other required personnel data assigned to a responsible data owner for completion.</w:t>
      </w:r>
    </w:p>
    <w:p w14:paraId="4895A4AA"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Responsible units/persons formally confirmed, and implementation roles accepted.</w:t>
      </w:r>
    </w:p>
    <w:p w14:paraId="2FDAEDBE"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Annual resource commitment and training schedule confirmed.</w:t>
      </w:r>
    </w:p>
    <w:p w14:paraId="7CDF5FA5"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Consistency with Atılım University policies and any University-level GEP/equivalent strategy checked.</w:t>
      </w:r>
    </w:p>
    <w:p w14:paraId="2065440A"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Faculty Board / relevant governance approval completed where required.</w:t>
      </w:r>
    </w:p>
    <w:p w14:paraId="67EFFA4A" w14:textId="77777777" w:rsidR="00E869E7" w:rsidRPr="00011047" w:rsidRDefault="00E869E7" w:rsidP="00E869E7">
      <w:pPr>
        <w:pStyle w:val="ListeMaddemi"/>
        <w:tabs>
          <w:tab w:val="num" w:pos="360"/>
        </w:tabs>
        <w:spacing w:after="40" w:line="247" w:lineRule="auto"/>
        <w:ind w:left="360" w:hanging="360"/>
        <w:jc w:val="both"/>
        <w:rPr>
          <w:rFonts w:ascii="Times New Roman" w:hAnsi="Times New Roman" w:cs="Times New Roman"/>
          <w:sz w:val="24"/>
          <w:szCs w:val="24"/>
        </w:rPr>
      </w:pPr>
      <w:r w:rsidRPr="00011047">
        <w:rPr>
          <w:rFonts w:ascii="Times New Roman" w:hAnsi="Times New Roman" w:cs="Times New Roman"/>
          <w:color w:val="273142"/>
          <w:sz w:val="24"/>
          <w:szCs w:val="24"/>
        </w:rPr>
        <w:t>Senior-management adoption/signature completed, and the final document published on the public website.</w:t>
      </w:r>
    </w:p>
    <w:p w14:paraId="7C61CDBC" w14:textId="77777777" w:rsidR="00E869E7" w:rsidRPr="00011047" w:rsidRDefault="00E869E7" w:rsidP="00E869E7">
      <w:pPr>
        <w:spacing w:before="80" w:after="80"/>
        <w:rPr>
          <w:rFonts w:ascii="Times New Roman" w:hAnsi="Times New Roman" w:cs="Times New Roman"/>
          <w:sz w:val="24"/>
          <w:szCs w:val="24"/>
        </w:rPr>
      </w:pPr>
      <w:r w:rsidRPr="00011047">
        <w:rPr>
          <w:rFonts w:ascii="Times New Roman" w:hAnsi="Times New Roman" w:cs="Times New Roman"/>
          <w:b/>
          <w:color w:val="0B1D4D"/>
          <w:sz w:val="24"/>
          <w:szCs w:val="24"/>
        </w:rPr>
        <w:t>References</w:t>
      </w:r>
    </w:p>
    <w:p w14:paraId="4F1E91DE" w14:textId="77777777" w:rsidR="00E869E7" w:rsidRPr="00011047" w:rsidRDefault="00E869E7" w:rsidP="00E869E7">
      <w:pPr>
        <w:spacing w:after="40" w:line="240" w:lineRule="auto"/>
        <w:ind w:left="283" w:hanging="283"/>
        <w:rPr>
          <w:rFonts w:ascii="Times New Roman" w:hAnsi="Times New Roman" w:cs="Times New Roman"/>
          <w:sz w:val="24"/>
          <w:szCs w:val="24"/>
        </w:rPr>
      </w:pPr>
      <w:r w:rsidRPr="00011047">
        <w:rPr>
          <w:rFonts w:ascii="Times New Roman" w:hAnsi="Times New Roman" w:cs="Times New Roman"/>
          <w:color w:val="273142"/>
          <w:sz w:val="24"/>
          <w:szCs w:val="24"/>
        </w:rPr>
        <w:t>Atılım University (2020). Policy Document on the Prevention of Gender-Based Discrimination, Sexual Harassment and Sexual Assault. Senate Decision No. 12, 24 July 2020.</w:t>
      </w:r>
    </w:p>
    <w:p w14:paraId="62CED321" w14:textId="77777777" w:rsidR="00E869E7" w:rsidRPr="00011047" w:rsidRDefault="00E869E7" w:rsidP="00E869E7">
      <w:pPr>
        <w:spacing w:after="40" w:line="240" w:lineRule="auto"/>
        <w:ind w:left="283" w:hanging="283"/>
        <w:rPr>
          <w:rFonts w:ascii="Times New Roman" w:hAnsi="Times New Roman" w:cs="Times New Roman"/>
          <w:sz w:val="24"/>
          <w:szCs w:val="24"/>
        </w:rPr>
      </w:pPr>
      <w:r w:rsidRPr="00011047">
        <w:rPr>
          <w:rFonts w:ascii="Times New Roman" w:hAnsi="Times New Roman" w:cs="Times New Roman"/>
          <w:color w:val="273142"/>
          <w:sz w:val="24"/>
          <w:szCs w:val="24"/>
        </w:rPr>
        <w:t>Atılım University. Regulation of the Women’s Studies Research and Application Centre (KASAUM).</w:t>
      </w:r>
    </w:p>
    <w:p w14:paraId="49BECBDE" w14:textId="136D4B75" w:rsidR="00E869E7" w:rsidRPr="00011047" w:rsidRDefault="00E869E7" w:rsidP="00E869E7">
      <w:pPr>
        <w:spacing w:after="40" w:line="240" w:lineRule="auto"/>
        <w:ind w:left="283" w:hanging="283"/>
        <w:rPr>
          <w:rFonts w:ascii="Times New Roman" w:hAnsi="Times New Roman" w:cs="Times New Roman"/>
          <w:sz w:val="24"/>
          <w:szCs w:val="24"/>
        </w:rPr>
      </w:pPr>
      <w:r w:rsidRPr="00011047">
        <w:rPr>
          <w:rFonts w:ascii="Times New Roman" w:hAnsi="Times New Roman" w:cs="Times New Roman"/>
          <w:color w:val="273142"/>
          <w:sz w:val="24"/>
          <w:szCs w:val="24"/>
        </w:rPr>
        <w:t xml:space="preserve">European Commission. Gender equality in research and innovation: Horizon Europe Gender Equality Plan eligibility criterion and thematic areas. Current public guidance </w:t>
      </w:r>
      <w:r w:rsidR="00E02FB8" w:rsidRPr="00011047">
        <w:rPr>
          <w:rFonts w:ascii="Times New Roman" w:hAnsi="Times New Roman" w:cs="Times New Roman"/>
          <w:color w:val="273142"/>
          <w:sz w:val="24"/>
          <w:szCs w:val="24"/>
        </w:rPr>
        <w:t>was accessed in</w:t>
      </w:r>
      <w:r w:rsidRPr="00011047">
        <w:rPr>
          <w:rFonts w:ascii="Times New Roman" w:hAnsi="Times New Roman" w:cs="Times New Roman"/>
          <w:color w:val="273142"/>
          <w:sz w:val="24"/>
          <w:szCs w:val="24"/>
        </w:rPr>
        <w:t xml:space="preserve"> September 2026.</w:t>
      </w:r>
    </w:p>
    <w:p w14:paraId="379FD1B9" w14:textId="77777777" w:rsidR="00E869E7" w:rsidRPr="00011047" w:rsidRDefault="00E869E7" w:rsidP="00E869E7">
      <w:pPr>
        <w:spacing w:after="40" w:line="240" w:lineRule="auto"/>
        <w:ind w:left="283" w:hanging="283"/>
        <w:rPr>
          <w:rFonts w:ascii="Times New Roman" w:hAnsi="Times New Roman" w:cs="Times New Roman"/>
          <w:sz w:val="24"/>
          <w:szCs w:val="24"/>
        </w:rPr>
      </w:pPr>
      <w:r w:rsidRPr="00011047">
        <w:rPr>
          <w:rFonts w:ascii="Times New Roman" w:hAnsi="Times New Roman" w:cs="Times New Roman"/>
          <w:color w:val="273142"/>
          <w:sz w:val="24"/>
          <w:szCs w:val="24"/>
        </w:rPr>
        <w:t>European Commission. Horizon Europe Guidance on Gender Equality Plans.</w:t>
      </w:r>
    </w:p>
    <w:p w14:paraId="093D8A64" w14:textId="77777777" w:rsidR="00E869E7" w:rsidRPr="00011047" w:rsidRDefault="00E869E7" w:rsidP="00E869E7">
      <w:pPr>
        <w:spacing w:after="40" w:line="240" w:lineRule="auto"/>
        <w:ind w:left="283" w:hanging="283"/>
        <w:rPr>
          <w:rFonts w:ascii="Times New Roman" w:hAnsi="Times New Roman" w:cs="Times New Roman"/>
          <w:sz w:val="24"/>
          <w:szCs w:val="24"/>
        </w:rPr>
      </w:pPr>
      <w:r w:rsidRPr="00011047">
        <w:rPr>
          <w:rFonts w:ascii="Times New Roman" w:hAnsi="Times New Roman" w:cs="Times New Roman"/>
          <w:color w:val="273142"/>
          <w:sz w:val="24"/>
          <w:szCs w:val="24"/>
        </w:rPr>
        <w:t>European Institute for Gender Equality (EIGE). Gender Equality in Academia and Research (GEAR) tool: step-by-step guidance for setting up, implementing and monitoring a GEP.</w:t>
      </w:r>
    </w:p>
    <w:p w14:paraId="18F2CC30" w14:textId="577AE83A" w:rsidR="00E869E7" w:rsidRDefault="00E869E7" w:rsidP="00E869E7">
      <w:pPr>
        <w:spacing w:after="40" w:line="240" w:lineRule="auto"/>
        <w:ind w:left="283" w:hanging="283"/>
        <w:rPr>
          <w:rFonts w:ascii="Times New Roman" w:hAnsi="Times New Roman" w:cs="Times New Roman"/>
          <w:color w:val="273142"/>
          <w:sz w:val="24"/>
          <w:szCs w:val="24"/>
        </w:rPr>
      </w:pPr>
      <w:r w:rsidRPr="00011047">
        <w:rPr>
          <w:rFonts w:ascii="Times New Roman" w:hAnsi="Times New Roman" w:cs="Times New Roman"/>
          <w:color w:val="273142"/>
          <w:sz w:val="24"/>
          <w:szCs w:val="24"/>
        </w:rPr>
        <w:t>Faculty baseline dataset supplied for this plan (2026): department/</w:t>
      </w:r>
      <w:proofErr w:type="spellStart"/>
      <w:r w:rsidRPr="00011047">
        <w:rPr>
          <w:rFonts w:ascii="Times New Roman" w:hAnsi="Times New Roman" w:cs="Times New Roman"/>
          <w:color w:val="273142"/>
          <w:sz w:val="24"/>
          <w:szCs w:val="24"/>
        </w:rPr>
        <w:t>programme</w:t>
      </w:r>
      <w:proofErr w:type="spellEnd"/>
      <w:r w:rsidRPr="00011047">
        <w:rPr>
          <w:rFonts w:ascii="Times New Roman" w:hAnsi="Times New Roman" w:cs="Times New Roman"/>
          <w:color w:val="273142"/>
          <w:sz w:val="24"/>
          <w:szCs w:val="24"/>
        </w:rPr>
        <w:t xml:space="preserve"> student and </w:t>
      </w:r>
      <w:r w:rsidR="00E02FB8" w:rsidRPr="00011047">
        <w:rPr>
          <w:rFonts w:ascii="Times New Roman" w:hAnsi="Times New Roman" w:cs="Times New Roman"/>
          <w:color w:val="273142"/>
          <w:sz w:val="24"/>
          <w:szCs w:val="24"/>
        </w:rPr>
        <w:t>academic staff</w:t>
      </w:r>
      <w:r w:rsidRPr="00011047">
        <w:rPr>
          <w:rFonts w:ascii="Times New Roman" w:hAnsi="Times New Roman" w:cs="Times New Roman"/>
          <w:color w:val="273142"/>
          <w:sz w:val="24"/>
          <w:szCs w:val="24"/>
        </w:rPr>
        <w:t xml:space="preserve"> counts; Heads of Department; Faculty Board; Faculty Administrative Board.</w:t>
      </w:r>
    </w:p>
    <w:p w14:paraId="35900735" w14:textId="77777777" w:rsidR="00E869E7" w:rsidRPr="00011047" w:rsidRDefault="00E869E7" w:rsidP="00E869E7">
      <w:pPr>
        <w:spacing w:after="40" w:line="240" w:lineRule="auto"/>
        <w:ind w:left="283" w:hanging="283"/>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10036"/>
      </w:tblGrid>
      <w:tr w:rsidR="00E869E7" w:rsidRPr="00011047" w14:paraId="2442C56B" w14:textId="77777777" w:rsidTr="00FC2ED0">
        <w:trPr>
          <w:jc w:val="center"/>
        </w:trPr>
        <w:tc>
          <w:tcPr>
            <w:tcW w:w="10036" w:type="dxa"/>
            <w:tcBorders>
              <w:top w:val="single" w:sz="5" w:space="0" w:color="C9D7E5"/>
              <w:left w:val="single" w:sz="5" w:space="0" w:color="C9D7E5"/>
              <w:bottom w:val="single" w:sz="5" w:space="0" w:color="C9D7E5"/>
              <w:right w:val="single" w:sz="5" w:space="0" w:color="C9D7E5"/>
            </w:tcBorders>
            <w:shd w:val="clear" w:color="auto" w:fill="F7F8FA"/>
            <w:tcMar>
              <w:top w:w="100" w:type="dxa"/>
              <w:left w:w="140" w:type="dxa"/>
              <w:bottom w:w="100" w:type="dxa"/>
              <w:right w:w="140" w:type="dxa"/>
            </w:tcMar>
          </w:tcPr>
          <w:p w14:paraId="717157D0" w14:textId="77777777" w:rsidR="00E869E7" w:rsidRPr="00011047" w:rsidRDefault="00E869E7" w:rsidP="00FC2ED0">
            <w:pPr>
              <w:spacing w:after="0" w:line="240" w:lineRule="auto"/>
              <w:rPr>
                <w:rFonts w:ascii="Times New Roman" w:hAnsi="Times New Roman" w:cs="Times New Roman"/>
                <w:sz w:val="24"/>
                <w:szCs w:val="24"/>
              </w:rPr>
            </w:pPr>
            <w:r w:rsidRPr="00011047">
              <w:rPr>
                <w:rFonts w:ascii="Times New Roman" w:hAnsi="Times New Roman" w:cs="Times New Roman"/>
                <w:b/>
                <w:sz w:val="24"/>
                <w:szCs w:val="24"/>
              </w:rPr>
              <w:t xml:space="preserve">Document status at issue / </w:t>
            </w:r>
            <w:r w:rsidRPr="00011047">
              <w:rPr>
                <w:rFonts w:ascii="Times New Roman" w:hAnsi="Times New Roman" w:cs="Times New Roman"/>
                <w:sz w:val="24"/>
                <w:szCs w:val="24"/>
              </w:rPr>
              <w:t>Draft for institutional review. Only verified numerical data supplied for preparation of the Plan are reported. Missing data remain implementation and data-completion items.</w:t>
            </w:r>
          </w:p>
        </w:tc>
      </w:tr>
    </w:tbl>
    <w:p w14:paraId="309C6147" w14:textId="77777777" w:rsidR="00E869E7" w:rsidRPr="007F7F8B" w:rsidRDefault="00E869E7" w:rsidP="00E869E7">
      <w:pPr>
        <w:rPr>
          <w:rFonts w:ascii="Times New Roman" w:hAnsi="Times New Roman" w:cs="Times New Roman"/>
        </w:rPr>
      </w:pPr>
    </w:p>
    <w:p w14:paraId="31EF6BC8" w14:textId="77777777" w:rsidR="00F020AE" w:rsidRDefault="00F020AE"/>
    <w:sectPr w:rsidR="00F020AE" w:rsidSect="00E869E7">
      <w:footerReference w:type="default" r:id="rId12"/>
      <w:pgSz w:w="11906" w:h="16838"/>
      <w:pgMar w:top="822" w:right="935" w:bottom="822" w:left="935"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C51CF" w14:textId="77777777" w:rsidR="00374006" w:rsidRDefault="00374006" w:rsidP="00112DE2">
      <w:pPr>
        <w:spacing w:after="0" w:line="240" w:lineRule="auto"/>
      </w:pPr>
      <w:r>
        <w:separator/>
      </w:r>
    </w:p>
  </w:endnote>
  <w:endnote w:type="continuationSeparator" w:id="0">
    <w:p w14:paraId="4429F297" w14:textId="77777777" w:rsidR="00374006" w:rsidRDefault="00374006" w:rsidP="00112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285197"/>
      <w:docPartObj>
        <w:docPartGallery w:val="Page Numbers (Bottom of Page)"/>
        <w:docPartUnique/>
      </w:docPartObj>
    </w:sdtPr>
    <w:sdtContent>
      <w:p w14:paraId="7483F846" w14:textId="7F2A2ED2" w:rsidR="00112DE2" w:rsidRDefault="00112DE2">
        <w:pPr>
          <w:pStyle w:val="AltBilgi"/>
          <w:jc w:val="right"/>
        </w:pPr>
        <w:r>
          <w:fldChar w:fldCharType="begin"/>
        </w:r>
        <w:r>
          <w:instrText>PAGE   \* MERGEFORMAT</w:instrText>
        </w:r>
        <w:r>
          <w:fldChar w:fldCharType="separate"/>
        </w:r>
        <w:r>
          <w:rPr>
            <w:lang w:val="tr-TR"/>
          </w:rPr>
          <w:t>2</w:t>
        </w:r>
        <w:r>
          <w:fldChar w:fldCharType="end"/>
        </w:r>
      </w:p>
    </w:sdtContent>
  </w:sdt>
  <w:p w14:paraId="59CF698E" w14:textId="77777777" w:rsidR="00112DE2" w:rsidRDefault="00112DE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8ABA" w14:textId="77777777" w:rsidR="00374006" w:rsidRDefault="00374006" w:rsidP="00112DE2">
      <w:pPr>
        <w:spacing w:after="0" w:line="240" w:lineRule="auto"/>
      </w:pPr>
      <w:r>
        <w:separator/>
      </w:r>
    </w:p>
  </w:footnote>
  <w:footnote w:type="continuationSeparator" w:id="0">
    <w:p w14:paraId="2581EF3D" w14:textId="77777777" w:rsidR="00374006" w:rsidRDefault="00374006" w:rsidP="00112D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A6C458"/>
    <w:lvl w:ilvl="0">
      <w:start w:val="1"/>
      <w:numFmt w:val="bullet"/>
      <w:pStyle w:val="ListeMaddemi"/>
      <w:lvlText w:val=""/>
      <w:lvlJc w:val="left"/>
      <w:pPr>
        <w:tabs>
          <w:tab w:val="num" w:pos="360"/>
        </w:tabs>
        <w:ind w:left="360" w:hanging="360"/>
      </w:pPr>
      <w:rPr>
        <w:rFonts w:ascii="Symbol" w:hAnsi="Symbol" w:hint="default"/>
      </w:rPr>
    </w:lvl>
  </w:abstractNum>
  <w:num w:numId="1" w16cid:durableId="1667130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E7"/>
    <w:rsid w:val="00002E4A"/>
    <w:rsid w:val="000307C7"/>
    <w:rsid w:val="00062EA0"/>
    <w:rsid w:val="00064EA4"/>
    <w:rsid w:val="000D4C10"/>
    <w:rsid w:val="0011247C"/>
    <w:rsid w:val="00112DE2"/>
    <w:rsid w:val="00115919"/>
    <w:rsid w:val="001A2E25"/>
    <w:rsid w:val="001C71C6"/>
    <w:rsid w:val="001E25EE"/>
    <w:rsid w:val="00212076"/>
    <w:rsid w:val="002257D7"/>
    <w:rsid w:val="00234FA2"/>
    <w:rsid w:val="00256A6E"/>
    <w:rsid w:val="002827DC"/>
    <w:rsid w:val="002A10FF"/>
    <w:rsid w:val="002B5A57"/>
    <w:rsid w:val="002D53BD"/>
    <w:rsid w:val="002D7646"/>
    <w:rsid w:val="002E295A"/>
    <w:rsid w:val="002E6754"/>
    <w:rsid w:val="002F53D6"/>
    <w:rsid w:val="002F6C54"/>
    <w:rsid w:val="00305B83"/>
    <w:rsid w:val="003317DC"/>
    <w:rsid w:val="0033643A"/>
    <w:rsid w:val="00374006"/>
    <w:rsid w:val="00381098"/>
    <w:rsid w:val="0038594D"/>
    <w:rsid w:val="003925E5"/>
    <w:rsid w:val="003D536A"/>
    <w:rsid w:val="003E67FB"/>
    <w:rsid w:val="004176F8"/>
    <w:rsid w:val="004330F7"/>
    <w:rsid w:val="00434D50"/>
    <w:rsid w:val="004357E1"/>
    <w:rsid w:val="00437F11"/>
    <w:rsid w:val="00443CDC"/>
    <w:rsid w:val="00447195"/>
    <w:rsid w:val="004566EA"/>
    <w:rsid w:val="004A3050"/>
    <w:rsid w:val="004A47C5"/>
    <w:rsid w:val="004D1C3C"/>
    <w:rsid w:val="004F1DB6"/>
    <w:rsid w:val="005079BF"/>
    <w:rsid w:val="00521A33"/>
    <w:rsid w:val="005445BE"/>
    <w:rsid w:val="00592434"/>
    <w:rsid w:val="005A1CA5"/>
    <w:rsid w:val="005B5A1A"/>
    <w:rsid w:val="005E11B6"/>
    <w:rsid w:val="005E4A70"/>
    <w:rsid w:val="006512CD"/>
    <w:rsid w:val="00696AB9"/>
    <w:rsid w:val="006A1E62"/>
    <w:rsid w:val="006A7162"/>
    <w:rsid w:val="006F1424"/>
    <w:rsid w:val="00702E1F"/>
    <w:rsid w:val="007272B5"/>
    <w:rsid w:val="00756FB0"/>
    <w:rsid w:val="0076112F"/>
    <w:rsid w:val="0076672B"/>
    <w:rsid w:val="00791D2D"/>
    <w:rsid w:val="00797CA4"/>
    <w:rsid w:val="007F6722"/>
    <w:rsid w:val="0082144C"/>
    <w:rsid w:val="008248EB"/>
    <w:rsid w:val="00836477"/>
    <w:rsid w:val="00856C8A"/>
    <w:rsid w:val="008F10A0"/>
    <w:rsid w:val="008F1F5C"/>
    <w:rsid w:val="00907BD5"/>
    <w:rsid w:val="0092219A"/>
    <w:rsid w:val="00925091"/>
    <w:rsid w:val="00967280"/>
    <w:rsid w:val="00967780"/>
    <w:rsid w:val="00975398"/>
    <w:rsid w:val="009C6718"/>
    <w:rsid w:val="009D10D9"/>
    <w:rsid w:val="009D19B0"/>
    <w:rsid w:val="009D1A1E"/>
    <w:rsid w:val="009E5BAC"/>
    <w:rsid w:val="00A13D59"/>
    <w:rsid w:val="00A14BE3"/>
    <w:rsid w:val="00A15BC3"/>
    <w:rsid w:val="00A375AB"/>
    <w:rsid w:val="00A52864"/>
    <w:rsid w:val="00AA2898"/>
    <w:rsid w:val="00AE1FD0"/>
    <w:rsid w:val="00AF2B45"/>
    <w:rsid w:val="00B3545F"/>
    <w:rsid w:val="00B516B8"/>
    <w:rsid w:val="00B74275"/>
    <w:rsid w:val="00B85BFE"/>
    <w:rsid w:val="00BA0354"/>
    <w:rsid w:val="00C24655"/>
    <w:rsid w:val="00C3093A"/>
    <w:rsid w:val="00C6360E"/>
    <w:rsid w:val="00C662BA"/>
    <w:rsid w:val="00C7434B"/>
    <w:rsid w:val="00C7472E"/>
    <w:rsid w:val="00C877C2"/>
    <w:rsid w:val="00CA67D7"/>
    <w:rsid w:val="00CC3F35"/>
    <w:rsid w:val="00CF31C1"/>
    <w:rsid w:val="00D16FF5"/>
    <w:rsid w:val="00D275C0"/>
    <w:rsid w:val="00D37FCA"/>
    <w:rsid w:val="00D61007"/>
    <w:rsid w:val="00D763B7"/>
    <w:rsid w:val="00DA30D9"/>
    <w:rsid w:val="00DE16B0"/>
    <w:rsid w:val="00E02FB8"/>
    <w:rsid w:val="00E03899"/>
    <w:rsid w:val="00E03962"/>
    <w:rsid w:val="00E3146C"/>
    <w:rsid w:val="00E33D0F"/>
    <w:rsid w:val="00E725D0"/>
    <w:rsid w:val="00E869E7"/>
    <w:rsid w:val="00EE2872"/>
    <w:rsid w:val="00F020AE"/>
    <w:rsid w:val="00F125B7"/>
    <w:rsid w:val="00F331EF"/>
    <w:rsid w:val="00F337B5"/>
    <w:rsid w:val="00F41187"/>
    <w:rsid w:val="00F4426E"/>
    <w:rsid w:val="00F60FE7"/>
    <w:rsid w:val="00F727D0"/>
    <w:rsid w:val="00F80AF9"/>
    <w:rsid w:val="00FB396D"/>
    <w:rsid w:val="00FD5CD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4597"/>
  <w15:chartTrackingRefBased/>
  <w15:docId w15:val="{9AA367F2-A390-469F-B796-ADAC2A01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9E7"/>
    <w:pPr>
      <w:spacing w:after="200" w:line="276" w:lineRule="auto"/>
    </w:pPr>
    <w:rPr>
      <w:rFonts w:ascii="Aptos" w:eastAsiaTheme="minorEastAsia" w:hAnsi="Aptos"/>
      <w:kern w:val="0"/>
      <w:sz w:val="20"/>
      <w:szCs w:val="22"/>
      <w:lang w:val="en-US"/>
      <w14:ligatures w14:val="none"/>
    </w:rPr>
  </w:style>
  <w:style w:type="paragraph" w:styleId="Balk1">
    <w:name w:val="heading 1"/>
    <w:basedOn w:val="Normal"/>
    <w:next w:val="Normal"/>
    <w:link w:val="Balk1Char"/>
    <w:uiPriority w:val="9"/>
    <w:qFormat/>
    <w:rsid w:val="00E869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869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869E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869E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869E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869E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869E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869E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869E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69E7"/>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semiHidden/>
    <w:rsid w:val="00E869E7"/>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uiPriority w:val="9"/>
    <w:semiHidden/>
    <w:rsid w:val="00E869E7"/>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E869E7"/>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E869E7"/>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E869E7"/>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E869E7"/>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E869E7"/>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E869E7"/>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E86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869E7"/>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E869E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869E7"/>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E869E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869E7"/>
    <w:rPr>
      <w:i/>
      <w:iCs/>
      <w:color w:val="404040" w:themeColor="text1" w:themeTint="BF"/>
      <w:lang w:val="en-US"/>
    </w:rPr>
  </w:style>
  <w:style w:type="paragraph" w:styleId="ListeParagraf">
    <w:name w:val="List Paragraph"/>
    <w:basedOn w:val="Normal"/>
    <w:uiPriority w:val="34"/>
    <w:qFormat/>
    <w:rsid w:val="00E869E7"/>
    <w:pPr>
      <w:ind w:left="720"/>
      <w:contextualSpacing/>
    </w:pPr>
  </w:style>
  <w:style w:type="character" w:styleId="GlVurgulama">
    <w:name w:val="Intense Emphasis"/>
    <w:basedOn w:val="VarsaylanParagrafYazTipi"/>
    <w:uiPriority w:val="21"/>
    <w:qFormat/>
    <w:rsid w:val="00E869E7"/>
    <w:rPr>
      <w:i/>
      <w:iCs/>
      <w:color w:val="0F4761" w:themeColor="accent1" w:themeShade="BF"/>
    </w:rPr>
  </w:style>
  <w:style w:type="paragraph" w:styleId="GlAlnt">
    <w:name w:val="Intense Quote"/>
    <w:basedOn w:val="Normal"/>
    <w:next w:val="Normal"/>
    <w:link w:val="GlAlntChar"/>
    <w:uiPriority w:val="30"/>
    <w:qFormat/>
    <w:rsid w:val="00E869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869E7"/>
    <w:rPr>
      <w:i/>
      <w:iCs/>
      <w:color w:val="0F4761" w:themeColor="accent1" w:themeShade="BF"/>
      <w:lang w:val="en-US"/>
    </w:rPr>
  </w:style>
  <w:style w:type="character" w:styleId="GlBavuru">
    <w:name w:val="Intense Reference"/>
    <w:basedOn w:val="VarsaylanParagrafYazTipi"/>
    <w:uiPriority w:val="32"/>
    <w:qFormat/>
    <w:rsid w:val="00E869E7"/>
    <w:rPr>
      <w:b/>
      <w:bCs/>
      <w:smallCaps/>
      <w:color w:val="0F4761" w:themeColor="accent1" w:themeShade="BF"/>
      <w:spacing w:val="5"/>
    </w:rPr>
  </w:style>
  <w:style w:type="paragraph" w:styleId="ListeMaddemi">
    <w:name w:val="List Bullet"/>
    <w:basedOn w:val="Normal"/>
    <w:uiPriority w:val="99"/>
    <w:unhideWhenUsed/>
    <w:rsid w:val="00E869E7"/>
    <w:pPr>
      <w:numPr>
        <w:numId w:val="1"/>
      </w:numPr>
      <w:tabs>
        <w:tab w:val="clear" w:pos="360"/>
      </w:tabs>
      <w:ind w:left="0" w:firstLine="0"/>
      <w:contextualSpacing/>
    </w:pPr>
  </w:style>
  <w:style w:type="paragraph" w:styleId="stBilgi">
    <w:name w:val="header"/>
    <w:basedOn w:val="Normal"/>
    <w:link w:val="stBilgiChar"/>
    <w:uiPriority w:val="99"/>
    <w:unhideWhenUsed/>
    <w:rsid w:val="00112DE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2DE2"/>
    <w:rPr>
      <w:rFonts w:ascii="Aptos" w:eastAsiaTheme="minorEastAsia" w:hAnsi="Aptos"/>
      <w:kern w:val="0"/>
      <w:sz w:val="20"/>
      <w:szCs w:val="22"/>
      <w:lang w:val="en-US"/>
      <w14:ligatures w14:val="none"/>
    </w:rPr>
  </w:style>
  <w:style w:type="paragraph" w:styleId="AltBilgi">
    <w:name w:val="footer"/>
    <w:basedOn w:val="Normal"/>
    <w:link w:val="AltBilgiChar"/>
    <w:uiPriority w:val="99"/>
    <w:unhideWhenUsed/>
    <w:rsid w:val="00112DE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2DE2"/>
    <w:rPr>
      <w:rFonts w:ascii="Aptos" w:eastAsiaTheme="minorEastAsia" w:hAnsi="Aptos"/>
      <w:kern w:val="0"/>
      <w:sz w:val="20"/>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5440</Words>
  <Characters>31014</Characters>
  <Application>Microsoft Office Word</Application>
  <DocSecurity>0</DocSecurity>
  <Lines>258</Lines>
  <Paragraphs>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Öykü  YÜCEL</dc:creator>
  <cp:keywords/>
  <dc:description/>
  <cp:lastModifiedBy>Ceyhan ÇİĞDEMOĞLU</cp:lastModifiedBy>
  <cp:revision>4</cp:revision>
  <dcterms:created xsi:type="dcterms:W3CDTF">2026-09-15T12:14:00Z</dcterms:created>
  <dcterms:modified xsi:type="dcterms:W3CDTF">2026-09-18T09:15:00Z</dcterms:modified>
</cp:coreProperties>
</file>